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57.jpg" ContentType="image/jpeg"/>
  <Override PartName="/word/media/rId24.png" ContentType="image/png"/>
  <Override PartName="/word/media/rId29.png" ContentType="image/png"/>
  <Override PartName="/word/media/rId34.png" ContentType="image/png"/>
  <Override PartName="/word/media/rId38.png" ContentType="image/png"/>
  <Override PartName="/word/media/rId41.png" ContentType="image/png"/>
  <Override PartName="/word/media/rId44.png" ContentType="image/png"/>
  <Override PartName="/word/media/rId47.jpg" ContentType="image/jpe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Section V: Conclusions &amp; Outlook</w:t>
      </w:r>
    </w:p>
    <w:p>
      <w:pPr>
        <w:pStyle w:val="BodyText"/>
      </w:pPr>
    </w:p>
    <w:p>
      <w:pPr>
        <w:pStyle w:val="BodyText"/>
      </w:pPr>
      <w:r>
        <w:t xml:space="preserve">Introduction to Section V</w:t>
      </w:r>
    </w:p>
    <w:p>
      <w:pPr>
        <w:pStyle w:val="BodyText"/>
      </w:pPr>
    </w:p>
    <w:p>
      <w:pPr>
        <w:pStyle w:val="BodyText"/>
      </w:pPr>
      <w:r>
        <w:t xml:space="preserve">The purpose of Section V is to reflect upon the learnings of this research and make them actionable and well-contextualised to future designers, researchers and innovators.</w:t>
      </w:r>
      <w:r>
        <w:t xml:space="preserve"> </w:t>
      </w:r>
      <w:hyperlink w:anchor="chapter-10">
        <w:r>
          <w:rPr>
            <w:rStyle w:val="Hyperlink"/>
          </w:rPr>
          <w:t xml:space="preserve">Chapter 10</w:t>
        </w:r>
      </w:hyperlink>
      <w:r>
        <w:t xml:space="preserve"> </w:t>
      </w:r>
      <w:r>
        <w:t xml:space="preserve">reflects back upon the thesis to produce a set of clear and actionable principles for better Human Data Relations as well as pragmatic and personal reflections on this body of work and the agenda it advocates, as well as positioning the PhD in terms of its potential legacy and limitations.</w:t>
      </w:r>
    </w:p>
    <w:bookmarkStart w:id="69" w:name="chapter-10"/>
    <w:p>
      <w:pPr>
        <w:pStyle w:val="Heading1"/>
      </w:pPr>
      <w:r>
        <w:rPr>
          <w:rStyle w:val="SectionNumber"/>
        </w:rPr>
        <w:t xml:space="preserve">1</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—Kingsley ofosu-Ampong (researcher &amp; lecturer in digital transformation)</w:t>
      </w:r>
    </w:p>
    <w:p>
      <w:pPr>
        <w:pStyle w:val="FirstParagraph"/>
      </w:pPr>
      <w:r>
        <w:t xml:space="preserve">This Digital Civics PhD has explored, from an constructivist, individualist, and pragmatist point of view, the nature of the power imbalance between individuals and those who hold data about them. It has built upon literary bodies of work in multiple disciplines including information theory, data rights legislation, surveillance capitalism, Personal Information Management, Human-Computer Interaction, Human-Data Interaction, Personal Data Ecosystems and Human-centered Design. In doing so, it identified a research gap around the lived experience of today’s data-centric world, recognising that there was a need to explore the role that personal data should play in people’s lives, and how the current power imbalance over personal data [</w:t>
      </w:r>
      <w:hyperlink w:anchor="X2fecb37588747cdb8227230edc41ff2ca6557e1">
        <w:r>
          <w:rPr>
            <w:rStyle w:val="Hyperlink"/>
          </w:rPr>
          <w:t xml:space="preserve">2.1.2</w:t>
        </w:r>
      </w:hyperlink>
      <w:r>
        <w:t xml:space="preserve">] affects people’s attitudes and capabilities.</w:t>
      </w:r>
    </w:p>
    <w:p>
      <w:pPr>
        <w:pStyle w:val="BodyText"/>
      </w:pPr>
      <w:r>
        <w:t xml:space="preserve">Through the Case Studies in Section</w:t>
      </w:r>
      <w:r>
        <w:t xml:space="preserve"> </w:t>
      </w:r>
      <w:hyperlink w:anchor="section-ii">
        <w:r>
          <w:rPr>
            <w:rStyle w:val="Hyperlink"/>
          </w:rPr>
          <w:t xml:space="preserve">II</w:t>
        </w:r>
      </w:hyperlink>
      <w:r>
        <w:t xml:space="preserve"> </w:t>
      </w:r>
      <w:r>
        <w:t xml:space="preserve">it explored this research gap, reaching in</w:t>
      </w:r>
      <w:r>
        <w:t xml:space="preserve"> </w:t>
      </w:r>
      <w:hyperlink w:anchor="chapter-6">
        <w:r>
          <w:rPr>
            <w:rStyle w:val="Hyperlink"/>
          </w:rPr>
          <w:t xml:space="preserve">Chapter 6</w:t>
        </w:r>
      </w:hyperlink>
      <w:r>
        <w:t xml:space="preserve"> </w:t>
      </w:r>
      <w:r>
        <w:t xml:space="preserve">within Section III a clear answer to its research question [</w:t>
      </w:r>
      <w:hyperlink w:anchor="RQ">
        <w:r>
          <w:rPr>
            <w:rStyle w:val="Hyperlink"/>
          </w:rPr>
          <w:t xml:space="preserve">2.4</w:t>
        </w:r>
      </w:hyperlink>
      <w:r>
        <w:t xml:space="preserve">] in terms of six wants that people have in their direct and indirect data relations; people want:</w:t>
      </w:r>
    </w:p>
    <w:p>
      <w:pPr>
        <w:numPr>
          <w:ilvl w:val="0"/>
          <w:numId w:val="1001"/>
        </w:numPr>
        <w:pStyle w:val="Compact"/>
      </w:pPr>
      <w:r>
        <w:t xml:space="preserve">visible, understandable and useable data, as well as</w:t>
      </w:r>
    </w:p>
    <w:p>
      <w:pPr>
        <w:numPr>
          <w:ilvl w:val="0"/>
          <w:numId w:val="1001"/>
        </w:numPr>
        <w:pStyle w:val="Compact"/>
      </w:pPr>
      <w:r>
        <w:t xml:space="preserve">process transparency, individual oversight and involvement in decision making.</w:t>
      </w:r>
    </w:p>
    <w:p>
      <w:pPr>
        <w:pStyle w:val="FirstParagraph"/>
      </w:pPr>
      <w:r>
        <w:t xml:space="preserve">These six wants provided a basis for envisioning a world where people become empowered digital citizens with mastery of their own personal data.</w:t>
      </w:r>
    </w:p>
    <w:p>
      <w:pPr>
        <w:pStyle w:val="BodyText"/>
      </w:pPr>
      <w:r>
        <w:t xml:space="preserve">Through its unique two-track approach of real-world project placements taking place alongside the participatory research, as described in</w:t>
      </w:r>
      <w:r>
        <w:t xml:space="preserve"> </w:t>
      </w:r>
      <w:hyperlink w:anchor="section-iv">
        <w:r>
          <w:rPr>
            <w:rStyle w:val="Hyperlink"/>
          </w:rPr>
          <w:t xml:space="preserve">Section IV</w:t>
        </w:r>
      </w:hyperlink>
      <w:r>
        <w:t xml:space="preserve">, this evolving vision for better relations with and through data was tested, refined and scrutinised through a practical, sociotechnical lens that began consideration of a further question, of how the world might be changed towards this new vision. The result of this hybrid learning was presented as a new research agenda,</w:t>
      </w:r>
      <w:r>
        <w:t xml:space="preserve"> </w:t>
      </w:r>
      <w:r>
        <w:rPr>
          <w:iCs/>
          <w:i/>
        </w:rPr>
        <w:t xml:space="preserve">Human Data Relations (HDR)</w:t>
      </w:r>
      <w:r>
        <w:t xml:space="preserve">. HDR was defined in</w:t>
      </w:r>
      <w:r>
        <w:t xml:space="preserve"> </w:t>
      </w:r>
      <w:hyperlink w:anchor="chapter-7">
        <w:r>
          <w:rPr>
            <w:rStyle w:val="Hyperlink"/>
          </w:rPr>
          <w:t xml:space="preserve">Chapter 7</w:t>
        </w:r>
      </w:hyperlink>
      <w:r>
        <w:t xml:space="preserve"> </w:t>
      </w:r>
      <w:r>
        <w:t xml:space="preserve">within Section III, culminating in the expression of four clear objectives:</w:t>
      </w:r>
    </w:p>
    <w:p>
      <w:pPr>
        <w:numPr>
          <w:ilvl w:val="0"/>
          <w:numId w:val="1002"/>
        </w:numPr>
        <w:pStyle w:val="Compact"/>
      </w:pPr>
      <w:r>
        <w:t xml:space="preserve">data awareness and understanding;</w:t>
      </w:r>
    </w:p>
    <w:p>
      <w:pPr>
        <w:numPr>
          <w:ilvl w:val="0"/>
          <w:numId w:val="1002"/>
        </w:numPr>
        <w:pStyle w:val="Compact"/>
      </w:pPr>
      <w:r>
        <w:t xml:space="preserve">data useability</w:t>
      </w:r>
      <w:hyperlink w:anchor="fn11">
        <w:r>
          <w:rPr>
            <w:rStyle w:val="Hyperlink"/>
          </w:rPr>
          <w:t xml:space="preserve">11</w:t>
        </w:r>
      </w:hyperlink>
      <w:r>
        <w:t xml:space="preserve">;</w:t>
      </w:r>
    </w:p>
    <w:p>
      <w:pPr>
        <w:numPr>
          <w:ilvl w:val="0"/>
          <w:numId w:val="1002"/>
        </w:numPr>
        <w:pStyle w:val="Compact"/>
      </w:pPr>
      <w:r>
        <w:t xml:space="preserve">data ecosystem awareness and understanding; and</w:t>
      </w:r>
    </w:p>
    <w:p>
      <w:pPr>
        <w:numPr>
          <w:ilvl w:val="0"/>
          <w:numId w:val="1002"/>
        </w:numPr>
        <w:pStyle w:val="Compact"/>
      </w:pPr>
      <w:r>
        <w:t xml:space="preserve">data ecosystem negotiability.</w:t>
      </w:r>
    </w:p>
    <w:p>
      <w:pPr>
        <w:pStyle w:val="FirstParagraph"/>
      </w:pPr>
      <w:r>
        <w:t xml:space="preserve">Through</w:t>
      </w:r>
      <w:r>
        <w:t xml:space="preserve"> </w:t>
      </w:r>
      <w:hyperlink w:anchor="section-iv">
        <w:r>
          <w:rPr>
            <w:rStyle w:val="Hyperlink"/>
          </w:rPr>
          <w:t xml:space="preserve">Section IV</w:t>
        </w:r>
      </w:hyperlink>
      <w:r>
        <w:t xml:space="preserve">, this new research agenda was given flesh, by mapping out the understood obstacles to progress when pursuing these objectives, and providing four strategic trajectories for pursuing societal change towards better HDR:</w:t>
      </w:r>
    </w:p>
    <w:p>
      <w:pPr>
        <w:numPr>
          <w:ilvl w:val="0"/>
          <w:numId w:val="1003"/>
        </w:numPr>
        <w:pStyle w:val="Compact"/>
      </w:pPr>
      <w:r>
        <w:t xml:space="preserve">discovery-driven activism,</w:t>
      </w:r>
    </w:p>
    <w:p>
      <w:pPr>
        <w:numPr>
          <w:ilvl w:val="0"/>
          <w:numId w:val="1003"/>
        </w:numPr>
        <w:pStyle w:val="Compact"/>
      </w:pPr>
      <w:r>
        <w:t xml:space="preserve">building human-centric life interfaces,</w:t>
      </w:r>
    </w:p>
    <w:p>
      <w:pPr>
        <w:numPr>
          <w:ilvl w:val="0"/>
          <w:numId w:val="1003"/>
        </w:numPr>
        <w:pStyle w:val="Compact"/>
      </w:pPr>
      <w:r>
        <w:t xml:space="preserve">defending and exploiting the seams of the information landscape, and</w:t>
      </w:r>
    </w:p>
    <w:p>
      <w:pPr>
        <w:numPr>
          <w:ilvl w:val="0"/>
          <w:numId w:val="1003"/>
        </w:numPr>
        <w:pStyle w:val="Compact"/>
      </w:pPr>
      <w:r>
        <w:t xml:space="preserve">championing and teaching the HDR vision.</w:t>
      </w:r>
    </w:p>
    <w:p>
      <w:pPr>
        <w:pStyle w:val="FirstParagraph"/>
      </w:pPr>
      <w:r>
        <w:t xml:space="preserve">What remains for this chapter to address, is to distil the learnings of what people want from data in their lives (and how their wants might be met) into a set of principles from which future researchers, designers and activists might be able to generate new research projects, social interventions, policies, or other initiatives [</w:t>
      </w:r>
      <w:hyperlink w:anchor="Xd679968a7da96b70d4b4612e43ae2e670bb068a">
        <w:r>
          <w:rPr>
            <w:rStyle w:val="Hyperlink"/>
          </w:rPr>
          <w:t xml:space="preserve">10.1</w:t>
        </w:r>
      </w:hyperlink>
      <w:r>
        <w:t xml:space="preserve">], before reflecting critically on the research agenda [</w:t>
      </w:r>
      <w:hyperlink w:anchor="X371db1d0b9b28e14ec02e1c64c79e0a5f7c2a2d">
        <w:r>
          <w:rPr>
            <w:rStyle w:val="Hyperlink"/>
          </w:rPr>
          <w:t xml:space="preserve">10.2</w:t>
        </w:r>
      </w:hyperlink>
      <w:r>
        <w:t xml:space="preserve">] and upon this body of research in terms of its limitations [</w:t>
      </w:r>
      <w:hyperlink w:anchor="X21d30fc29c7c38310b1b9c23590a18fd030f6f2">
        <w:r>
          <w:rPr>
            <w:rStyle w:val="Hyperlink"/>
          </w:rPr>
          <w:t xml:space="preserve">10.3</w:t>
        </w:r>
      </w:hyperlink>
      <w:r>
        <w:t xml:space="preserve">], personal impact upon the researcher [</w:t>
      </w:r>
      <w:hyperlink w:anchor="X9f16581c451da37e3e7fea6e796799210c42932">
        <w:r>
          <w:rPr>
            <w:rStyle w:val="Hyperlink"/>
          </w:rPr>
          <w:t xml:space="preserve">10.4</w:t>
        </w:r>
      </w:hyperlink>
      <w:r>
        <w:t xml:space="preserve">] and potential legacy [</w:t>
      </w:r>
      <w:hyperlink w:anchor="X287384bc5ef3ab84a36a5ef1d888df2763567f4">
        <w:r>
          <w:rPr>
            <w:rStyle w:val="Hyperlink"/>
          </w:rPr>
          <w:t xml:space="preserve">10.5</w:t>
        </w:r>
      </w:hyperlink>
      <w:r>
        <w:t xml:space="preserve">].</w:t>
      </w:r>
    </w:p>
    <w:bookmarkStart w:id="63" w:name="Xd679968a7da96b70d4b4612e43ae2e670bb068a"/>
    <w:p>
      <w:pPr>
        <w:pStyle w:val="Heading2"/>
      </w:pPr>
      <w:r>
        <w:rPr>
          <w:rStyle w:val="SectionNumber"/>
        </w:rPr>
        <w:t xml:space="preserve">1.1</w:t>
      </w:r>
      <w:r>
        <w:tab/>
      </w:r>
      <w:r>
        <w:t xml:space="preserve">Principles for Generative Action</w:t>
      </w:r>
    </w:p>
    <w:p>
      <w:pPr>
        <w:pStyle w:val="FirstParagraph"/>
      </w:pPr>
      <w:r>
        <w:t xml:space="preserve">In line with this researcher’s objectives [</w:t>
      </w:r>
      <w:hyperlink w:anchor="Xd952513ae9dce3e914b4918eae08e1eddd37faa">
        <w:r>
          <w:rPr>
            <w:rStyle w:val="Hyperlink"/>
          </w:rPr>
          <w:t xml:space="preserve">1.1.1</w:t>
        </w:r>
      </w:hyperlink>
      <w:r>
        <w:t xml:space="preserve">], this PhD set out to have an impact upon the world with regard to tackling the power imbalance over personal data. Indeed, through publications, methodological contributions and industry adoption [</w:t>
      </w:r>
      <w:hyperlink w:anchor="X114b9dabe64741f5700c676da07d4182530a754">
        <w:r>
          <w:rPr>
            <w:rStyle w:val="Hyperlink"/>
          </w:rPr>
          <w:t xml:space="preserve">1.2</w:t>
        </w:r>
      </w:hyperlink>
      <w:r>
        <w:t xml:space="preserve">;</w:t>
      </w:r>
      <w:r>
        <w:t xml:space="preserve"> </w:t>
      </w:r>
      <w:hyperlink w:anchor="Xafe7d50c10921ac0f9f899939231a737e7dc2b2">
        <w:r>
          <w:rPr>
            <w:rStyle w:val="Hyperlink"/>
          </w:rPr>
          <w:t xml:space="preserve">1.3</w:t>
        </w:r>
      </w:hyperlink>
      <w:r>
        <w:t xml:space="preserve">] it already has. In order to maximise potential impact, this thesis will conclude not by providing a prescriptive roadmap for HDR, but by sharing a versatile set of principles that can be applied by all who wish to pursue this research agenda.</w:t>
      </w:r>
    </w:p>
    <w:p>
      <w:pPr>
        <w:pStyle w:val="BodyText"/>
      </w:pPr>
      <w:r>
        <w:t xml:space="preserve">The principles are framed as principles for</w:t>
      </w:r>
      <w:r>
        <w:t xml:space="preserve"> </w:t>
      </w:r>
      <w:r>
        <w:rPr>
          <w:iCs/>
          <w:i/>
        </w:rPr>
        <w:t xml:space="preserve">generative action</w:t>
      </w:r>
      <w:r>
        <w:t xml:space="preserve">, which refers to the idea of producing solutions that themselves stimulate further solutions, in line with the concept of</w:t>
      </w:r>
      <w:r>
        <w:t xml:space="preserve"> </w:t>
      </w:r>
      <w:r>
        <w:rPr>
          <w:iCs/>
          <w:i/>
        </w:rPr>
        <w:t xml:space="preserve">generativity</w:t>
      </w:r>
      <w:r>
        <w:t xml:space="preserve">, that in psychology refers to the creation of something novel, valuable and meaningful</w:t>
      </w:r>
      <w:r>
        <w:t xml:space="preserve"> </w:t>
      </w:r>
      <w:r>
        <w:t xml:space="preserve">(</w:t>
      </w:r>
      <w:hyperlink w:anchor="ref-mcadams1996">
        <w:r>
          <w:rPr>
            <w:rStyle w:val="Hyperlink"/>
          </w:rPr>
          <w:t xml:space="preserve">McAdams, 1996</w:t>
        </w:r>
      </w:hyperlink>
      <w:r>
        <w:t xml:space="preserve">)</w:t>
      </w:r>
      <w:r>
        <w:t xml:space="preserve">, and in sociology refers to a stage of adult development focused on productivity, creativity and contributing to society</w:t>
      </w:r>
      <w:r>
        <w:t xml:space="preserve"> </w:t>
      </w:r>
      <w:r>
        <w:t xml:space="preserve">(</w:t>
      </w:r>
      <w:hyperlink w:anchor="ref-slater2003">
        <w:r>
          <w:rPr>
            <w:rStyle w:val="Hyperlink"/>
          </w:rPr>
          <w:t xml:space="preserve">Slater, 2003</w:t>
        </w:r>
      </w:hyperlink>
      <w:r>
        <w:t xml:space="preserve">)</w:t>
      </w:r>
      <w:r>
        <w:t xml:space="preserve">.</w:t>
      </w:r>
    </w:p>
    <w:p>
      <w:pPr>
        <w:pStyle w:val="BodyText"/>
      </w:pPr>
      <w:r>
        <w:t xml:space="preserve">In recognition of the fact that the power imbalance over personal data is a sociotechnical problem, these principles are broader than just design insights for influencing UI design or software system specifications; they could also be applied at a societal level to influence funding and policy decisions, social interventions, business strategy, grassroots activism and more. As such, they are a tangible and actionable output of this research, routed in human-centric philosophy, participatory findings and sociotechnical reality.</w:t>
      </w:r>
    </w:p>
    <w:bookmarkStart w:id="23" w:name="X7ab9ce6d6b8eefb61b5adc35f61f2339efeae13"/>
    <w:p>
      <w:pPr>
        <w:pStyle w:val="Heading3"/>
      </w:pPr>
      <w:r>
        <w:rPr>
          <w:rStyle w:val="SectionNumber"/>
        </w:rPr>
        <w:t xml:space="preserve">1.1.1</w:t>
      </w:r>
      <w:r>
        <w:tab/>
      </w:r>
      <w:r>
        <w:t xml:space="preserve">Principle 1: Life Information makes Data Relatable</w:t>
      </w:r>
    </w:p>
    <w:p>
      <w:pPr>
        <w:pStyle w:val="FirstParagraph"/>
      </w:pPr>
      <w:r>
        <w:t xml:space="preserve">In the pilot study and Case Study One, data cards were used to represent civic data [</w:t>
      </w:r>
      <w:hyperlink w:anchor="figure-3.7">
        <w:r>
          <w:rPr>
            <w:rStyle w:val="Hyperlink"/>
          </w:rPr>
          <w:t xml:space="preserve">Figure 3.7</w:t>
        </w:r>
      </w:hyperlink>
      <w:r>
        <w:t xml:space="preserve">]. In Case Study Two and in Hestia.ai’s</w:t>
      </w:r>
      <w:r>
        <w:t xml:space="preserve"> </w:t>
      </w:r>
      <w:r>
        <w:rPr>
          <w:iCs/>
          <w:i/>
        </w:rPr>
        <w:t xml:space="preserve">digipower</w:t>
      </w:r>
      <w:r>
        <w:t xml:space="preserve"> </w:t>
      </w:r>
      <w:r>
        <w:t xml:space="preserve">investigation [See</w:t>
      </w:r>
      <w:r>
        <w:t xml:space="preserve"> </w:t>
      </w:r>
      <w:hyperlink w:anchor="IV.2">
        <w:r>
          <w:rPr>
            <w:rStyle w:val="Hyperlink"/>
          </w:rPr>
          <w:t xml:space="preserve">Section IV Introduction</w:t>
        </w:r>
      </w:hyperlink>
      <w:r>
        <w:t xml:space="preserve">], a categorisation of provider-held data was displayed [</w:t>
      </w:r>
      <w:hyperlink w:anchor="figure-3.8">
        <w:r>
          <w:rPr>
            <w:rStyle w:val="Hyperlink"/>
          </w:rPr>
          <w:t xml:space="preserve">Figure 3.8</w:t>
        </w:r>
      </w:hyperlink>
      <w:r>
        <w:t xml:space="preserve">].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p>
      <w:pPr>
        <w:pStyle w:val="BlockText"/>
      </w:pPr>
      <w:r>
        <w:rPr>
          <w:bCs/>
          <w:b/>
        </w:rPr>
        <w:t xml:space="preserve">To make data meaningful, it needs to be expressed as information about your life</w:t>
      </w:r>
      <w:r>
        <w:t xml:space="preserve">.</w:t>
      </w:r>
    </w:p>
    <w:p>
      <w:pPr>
        <w:pStyle w:val="FirstParagraph"/>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5c213d3f7d5eb3b3913f2bcc99b547ab52233a9">
        <w:r>
          <w:rPr>
            <w:rStyle w:val="Hyperlink"/>
          </w:rPr>
          <w:t xml:space="preserve">4.3.1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10.1">
        <w:r>
          <w:rPr>
            <w:rStyle w:val="Hyperlink"/>
          </w:rPr>
          <w:t xml:space="preserve">Figure 10.1</w:t>
        </w:r>
      </w:hyperlink>
      <w:r>
        <w:t xml:space="preserve">, which shows a near-exhaustive overview of the many different informational concepts in an individual’s life that providers might hold as data:</w:t>
      </w:r>
    </w:p>
    <w:p>
      <w:pPr>
        <w:pStyle w:val="CaptionedFigure"/>
      </w:pPr>
      <w:r>
        <w:drawing>
          <wp:inline>
            <wp:extent cx="5334000" cy="3889418"/>
            <wp:effectExtent b="0" l="0" r="0" t="0"/>
            <wp:docPr descr="Figure 10.1: Life Concept Modelling" title="" id="21" name="Picture"/>
            <a:graphic>
              <a:graphicData uri="http://schemas.openxmlformats.org/drawingml/2006/picture">
                <pic:pic>
                  <pic:nvPicPr>
                    <pic:cNvPr descr="./src/figs/fig10.1-life-concepts.png" id="22" name="Picture"/>
                    <pic:cNvPicPr>
                      <a:picLocks noChangeArrowheads="1" noChangeAspect="1"/>
                    </pic:cNvPicPr>
                  </pic:nvPicPr>
                  <pic:blipFill>
                    <a:blip r:embed="rId20"/>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10.1: Life Concept Modelling</w:t>
      </w:r>
    </w:p>
    <w:p>
      <w:pPr>
        <w:pStyle w:val="BodyText"/>
      </w:pPr>
      <w:r>
        <w:t xml:space="preserve">This diagram shows how most common personal data types handled today can be mapped to more relatable</w:t>
      </w:r>
      <w:r>
        <w:t xml:space="preserve"> </w:t>
      </w:r>
      <w:r>
        <w:rPr>
          <w:iCs/>
          <w:i/>
        </w:rPr>
        <w:t xml:space="preserve">life information</w:t>
      </w:r>
      <w:r>
        <w:t xml:space="preserve"> </w:t>
      </w:r>
      <w:r>
        <w:t xml:space="preserve">[</w:t>
      </w:r>
      <w:hyperlink w:anchor="Xc8e800b130e88f8d15b2c092b8d2fd1e5eaa830">
        <w:r>
          <w:rPr>
            <w:rStyle w:val="Hyperlink"/>
          </w:rPr>
          <w:t xml:space="preserve">7.1</w:t>
        </w:r>
      </w:hyperlink>
      <w:r>
        <w:t xml:space="preserve">] concepts. These life concepts (exemplified where possible) can make data meaningful to individuals, and can help them find value in their data [</w:t>
      </w:r>
      <w:hyperlink w:anchor="X4264450598570cbc4555b1dc961f299ba6f5359">
        <w:r>
          <w:rPr>
            <w:rStyle w:val="Hyperlink"/>
          </w:rPr>
          <w:t xml:space="preserve">5.5.3</w:t>
        </w:r>
      </w:hyperlink>
      <w:r>
        <w:t xml:space="preserve">].</w:t>
      </w:r>
    </w:p>
    <w:bookmarkEnd w:id="23"/>
    <w:bookmarkStart w:id="27" w:name="X1888dd7aa8a80de1d535a58df138af27e8446a6"/>
    <w:p>
      <w:pPr>
        <w:pStyle w:val="Heading3"/>
      </w:pPr>
      <w:r>
        <w:rPr>
          <w:rStyle w:val="SectionNumber"/>
        </w:rPr>
        <w:t xml:space="preserve">1.1.2</w:t>
      </w:r>
      <w:r>
        <w:tab/>
      </w:r>
      <w:r>
        <w:t xml:space="preserve">Principle 2: Personal Data Needs to be United and Unified</w:t>
      </w:r>
    </w:p>
    <w:p>
      <w:pPr>
        <w:pStyle w:val="FirstParagraph"/>
      </w:pPr>
      <w:r>
        <w:t xml:space="preserve">It is clear that better HDR involves recognising the splintered and scattered reality of where our data is [</w:t>
      </w:r>
      <w:r>
        <w:t xml:space="preserve">Lemley (</w:t>
      </w:r>
      <w:hyperlink w:anchor="ref-lemley2021">
        <w:r>
          <w:rPr>
            <w:rStyle w:val="Hyperlink"/>
          </w:rPr>
          <w:t xml:space="preserve">2021</w:t>
        </w:r>
      </w:hyperlink>
      <w:r>
        <w:t xml:space="preserve">)</w:t>
      </w:r>
      <w:r>
        <w:t xml:space="preserve">; [</w:t>
      </w:r>
      <w:hyperlink w:anchor="X81f0d3632905f8bf54a0c328d13cc85a1da4a1d">
        <w:r>
          <w:rPr>
            <w:rStyle w:val="Hyperlink"/>
          </w:rPr>
          <w:t xml:space="preserve">8.2.1</w:t>
        </w:r>
      </w:hyperlink>
      <w:r>
        <w:t xml:space="preserve">]] and moving beyond it. To make data useable</w:t>
      </w:r>
      <w:hyperlink w:anchor="fn11">
        <w:r>
          <w:rPr>
            <w:rStyle w:val="Hyperlink"/>
          </w:rPr>
          <w:t xml:space="preserve">11</w:t>
        </w:r>
      </w:hyperlink>
      <w:r>
        <w:t xml:space="preserve"> </w:t>
      </w:r>
      <w:r>
        <w:t xml:space="preserve">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r>
        <w:t xml:space="preserve">Jones (</w:t>
      </w:r>
      <w:hyperlink w:anchor="ref-jones2011pim">
        <w:r>
          <w:rPr>
            <w:rStyle w:val="Hyperlink"/>
          </w:rPr>
          <w:t xml:space="preserve">2011</w:t>
        </w:r>
      </w:hyperlink>
      <w:r>
        <w:t xml:space="preserve">)</w:t>
      </w:r>
      <w:r>
        <w:t xml:space="preserve">; [</w:t>
      </w:r>
      <w:hyperlink w:anchor="X7ac56ccfa5b6db61c32cb48c2dda8cc64d242cb">
        <w:r>
          <w:rPr>
            <w:rStyle w:val="Hyperlink"/>
          </w:rPr>
          <w:t xml:space="preserve">2.2.4</w:t>
        </w:r>
      </w:hyperlink>
      <w:r>
        <w:t xml:space="preserve">]]. This can form the seed of their new human-centric personal data ecosystem. This follows Bergman’s</w:t>
      </w:r>
      <w:r>
        <w:t xml:space="preserve"> </w:t>
      </w:r>
      <w:r>
        <w:rPr>
          <w:iCs/>
          <w:i/>
        </w:rPr>
        <w:t xml:space="preserve">subjective classification principle</w:t>
      </w:r>
      <w:r>
        <w:t xml:space="preserve">, as mentioned in</w:t>
      </w:r>
      <w:r>
        <w:t xml:space="preserve"> </w:t>
      </w:r>
      <w:hyperlink w:anchor="Xcf85366628e2f819f3dbb1f53ace656323bc394">
        <w:r>
          <w:rPr>
            <w:rStyle w:val="Hyperlink"/>
          </w:rPr>
          <w:t xml:space="preserve">2.2.2</w:t>
        </w:r>
      </w:hyperlink>
      <w:r>
        <w:t xml:space="preserve">:</w:t>
      </w:r>
    </w:p>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p>
      <w:pPr>
        <w:pStyle w:val="FirstParagraph"/>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[See</w:t>
      </w:r>
      <w:r>
        <w:t xml:space="preserve"> </w:t>
      </w:r>
      <w:hyperlink w:anchor="IV.1">
        <w:r>
          <w:rPr>
            <w:rStyle w:val="Hyperlink"/>
          </w:rPr>
          <w:t xml:space="preserve">Section IV Introduction</w:t>
        </w:r>
      </w:hyperlink>
      <w:r>
        <w:t xml:space="preserve">] examines how to build PDSs. In</w:t>
      </w:r>
      <w:r>
        <w:t xml:space="preserve"> </w:t>
      </w:r>
      <w:hyperlink w:anchor="X84473f470864e067ee3a22e64b47b0a1c356f29">
        <w:r>
          <w:rPr>
            <w:rStyle w:val="Hyperlink"/>
          </w:rPr>
          <w:t xml:space="preserve">9.4</w:t>
        </w:r>
      </w:hyperlink>
      <w:r>
        <w:t xml:space="preserve"> </w:t>
      </w:r>
      <w:r>
        <w:t xml:space="preserve">I explored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p>
      <w:pPr>
        <w:pStyle w:val="CaptionedFigure"/>
      </w:pPr>
      <w:r>
        <w:drawing>
          <wp:inline>
            <wp:extent cx="5334000" cy="6221513"/>
            <wp:effectExtent b="0" l="0" r="0" t="0"/>
            <wp:docPr descr="Figure 10.2: Mock-up of a Unified TV Viewing History Interface" title="" id="25" name="Picture"/>
            <a:graphic>
              <a:graphicData uri="http://schemas.openxmlformats.org/drawingml/2006/picture">
                <pic:pic>
                  <pic:nvPicPr>
                    <pic:cNvPr descr="./src/figs/fig10.2-unified-watch-history.png" id="26" name="Picture"/>
                    <pic:cNvPicPr>
                      <a:picLocks noChangeArrowheads="1" noChangeAspect="1"/>
                    </pic:cNvPicPr>
                  </pic:nvPicPr>
                  <pic:blipFill>
                    <a:blip r:embed="rId24"/>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10.2: Mock-up of a Unified TV Viewing History Interface</w:t>
      </w:r>
    </w:p>
    <w:bookmarkEnd w:id="27"/>
    <w:bookmarkStart w:id="28" w:name="Xcf8d1f4c9340da5a477494d65d7ede61840ab92"/>
    <w:p>
      <w:pPr>
        <w:pStyle w:val="Heading3"/>
      </w:pPr>
      <w:r>
        <w:rPr>
          <w:rStyle w:val="SectionNumber"/>
        </w:rPr>
        <w:t xml:space="preserve">1.1.3</w:t>
      </w:r>
      <w:r>
        <w:tab/>
      </w:r>
      <w:r>
        <w:t xml:space="preserve">Principle 3: Data must be Transformed into a Versatile Material</w:t>
      </w:r>
    </w:p>
    <w:p>
      <w:pPr>
        <w:pStyle w:val="FirstParagraph"/>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p>
      <w:pPr>
        <w:numPr>
          <w:ilvl w:val="0"/>
          <w:numId w:val="1004"/>
        </w:numPr>
        <w:pStyle w:val="Compact"/>
      </w:pPr>
      <w:r>
        <w:t xml:space="preserve">creating,</w:t>
      </w:r>
    </w:p>
    <w:p>
      <w:pPr>
        <w:numPr>
          <w:ilvl w:val="0"/>
          <w:numId w:val="1004"/>
        </w:numPr>
        <w:pStyle w:val="Compact"/>
      </w:pPr>
      <w:r>
        <w:t xml:space="preserve">deleting,</w:t>
      </w:r>
    </w:p>
    <w:p>
      <w:pPr>
        <w:numPr>
          <w:ilvl w:val="0"/>
          <w:numId w:val="1004"/>
        </w:numPr>
        <w:pStyle w:val="Compact"/>
      </w:pPr>
      <w:r>
        <w:t xml:space="preserve">moving,</w:t>
      </w:r>
    </w:p>
    <w:p>
      <w:pPr>
        <w:numPr>
          <w:ilvl w:val="0"/>
          <w:numId w:val="1004"/>
        </w:numPr>
        <w:pStyle w:val="Compact"/>
      </w:pPr>
      <w:r>
        <w:t xml:space="preserve">grouping,</w:t>
      </w:r>
    </w:p>
    <w:p>
      <w:pPr>
        <w:numPr>
          <w:ilvl w:val="0"/>
          <w:numId w:val="1004"/>
        </w:numPr>
        <w:pStyle w:val="Compact"/>
      </w:pPr>
      <w:r>
        <w:t xml:space="preserve">annotating,</w:t>
      </w:r>
    </w:p>
    <w:p>
      <w:pPr>
        <w:numPr>
          <w:ilvl w:val="0"/>
          <w:numId w:val="1004"/>
        </w:numPr>
        <w:pStyle w:val="Compact"/>
      </w:pPr>
      <w:r>
        <w:t xml:space="preserve">copying,</w:t>
      </w:r>
    </w:p>
    <w:p>
      <w:pPr>
        <w:numPr>
          <w:ilvl w:val="0"/>
          <w:numId w:val="1004"/>
        </w:numPr>
        <w:pStyle w:val="Compact"/>
      </w:pPr>
      <w:r>
        <w:t xml:space="preserve">sharing,</w:t>
      </w:r>
    </w:p>
    <w:p>
      <w:pPr>
        <w:numPr>
          <w:ilvl w:val="0"/>
          <w:numId w:val="1004"/>
        </w:numPr>
        <w:pStyle w:val="Compact"/>
      </w:pPr>
      <w:r>
        <w:t xml:space="preserve">modifying,</w:t>
      </w:r>
    </w:p>
    <w:p>
      <w:pPr>
        <w:numPr>
          <w:ilvl w:val="0"/>
          <w:numId w:val="1004"/>
        </w:numPr>
        <w:pStyle w:val="Compact"/>
      </w:pPr>
      <w:r>
        <w:t xml:space="preserve">labelling,</w:t>
      </w:r>
    </w:p>
    <w:p>
      <w:pPr>
        <w:numPr>
          <w:ilvl w:val="0"/>
          <w:numId w:val="1004"/>
        </w:numPr>
        <w:pStyle w:val="Compact"/>
      </w:pPr>
      <w:r>
        <w:t xml:space="preserve">organising, and</w:t>
      </w:r>
    </w:p>
    <w:p>
      <w:pPr>
        <w:numPr>
          <w:ilvl w:val="0"/>
          <w:numId w:val="1004"/>
        </w:numPr>
        <w:pStyle w:val="Compact"/>
      </w:pPr>
      <w:r>
        <w:t xml:space="preserve">separating.</w:t>
      </w:r>
    </w:p>
    <w:p>
      <w:pPr>
        <w:pStyle w:val="FirstParagraph"/>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p>
      <w:pPr>
        <w:pStyle w:val="FirstParagraph"/>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The HDR principle of data as versatile material is distinct from prior conceptualisations of</w:t>
      </w:r>
      <w:r>
        <w:t xml:space="preserve"> </w:t>
      </w:r>
      <w:r>
        <w:rPr>
          <w:iCs/>
          <w:i/>
        </w:rPr>
        <w:t xml:space="preserve">data materialisation</w:t>
      </w:r>
      <w:r>
        <w:t xml:space="preserve"> </w:t>
      </w:r>
      <w:r>
        <w:t xml:space="preserve">as the making of physical objects that manifest data</w:t>
      </w:r>
      <w:r>
        <w:t xml:space="preserve"> </w:t>
      </w:r>
      <w:r>
        <w:t xml:space="preserve">(</w:t>
      </w:r>
      <w:hyperlink w:anchor="ref-beghelli2019">
        <w:r>
          <w:rPr>
            <w:rStyle w:val="Hyperlink"/>
          </w:rPr>
          <w:t xml:space="preserve">Beghelli, Huerta-Cánepa and Segal, 2019</w:t>
        </w:r>
      </w:hyperlink>
      <w:r>
        <w:t xml:space="preserve">)</w:t>
      </w:r>
      <w:r>
        <w:t xml:space="preserve">, but rather refers to the realisation of human information of a pliable digital substance which users can manipulate for themselves in order to gain new insights and exercise new capabilities. In HDR terms, I theorise that what the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40141584308035bb03b454584dbe23925c8bab3">
        <w:r>
          <w:rPr>
            <w:rStyle w:val="Hyperlink"/>
          </w:rPr>
          <w:t xml:space="preserve">7.4</w:t>
        </w:r>
      </w:hyperlink>
      <w:r>
        <w:t xml:space="preserve">]. To achieve data useability [</w:t>
      </w:r>
      <w:hyperlink w:anchor="X7f3cb9988fc4f21a782e780e51ff565a0b00582">
        <w:r>
          <w:rPr>
            <w:rStyle w:val="Hyperlink"/>
          </w:rPr>
          <w:t xml:space="preserve">6.1.3</w:t>
        </w:r>
      </w:hyperlink>
      <w:r>
        <w:t xml:space="preserve">] therefore implies a call for the creation of systems that enable</w:t>
      </w:r>
      <w:r>
        <w:t xml:space="preserve"> </w:t>
      </w:r>
      <w:r>
        <w:rPr>
          <w:bCs/>
          <w:b/>
        </w:rPr>
        <w:t xml:space="preserve">human information to be treated as a material</w:t>
      </w:r>
      <w:r>
        <w:t xml:space="preserve">.git</w:t>
      </w:r>
    </w:p>
    <w:bookmarkEnd w:id="28"/>
    <w:bookmarkStart w:id="32" w:name="X3b27ac8a79823be41956a18e3c6879046fbf449"/>
    <w:p>
      <w:pPr>
        <w:pStyle w:val="Heading3"/>
      </w:pPr>
      <w:r>
        <w:rPr>
          <w:rStyle w:val="SectionNumber"/>
        </w:rPr>
        <w:t xml:space="preserve">1.1.4</w:t>
      </w:r>
      <w:r>
        <w:tab/>
      </w:r>
      <w:r>
        <w:t xml:space="preserve">Principle 4: Ecosystem Information is an Antidote to Digital Life Complexity</w:t>
      </w:r>
    </w:p>
    <w:p>
      <w:pPr>
        <w:pStyle w:val="FirstParagraph"/>
      </w:pPr>
      <w:r>
        <w:t xml:space="preserve">In 2014, Microsoft official Craig Mundie said:</w:t>
      </w:r>
    </w:p>
    <w:p>
      <w:pPr>
        <w:pStyle w:val="BlockText"/>
      </w:pPr>
      <w:r>
        <w:t xml:space="preserve">“</w:t>
      </w:r>
      <w:r>
        <w:t xml:space="preserve">Today, there is simply so much data being collected, in so many ways, that it is practically impossible to give people a meaningful way to keep track of all the information about them that exists out there, much less to consent to its collection in the first place.</w:t>
      </w:r>
      <w:r>
        <w:t xml:space="preserve">”</w:t>
      </w:r>
      <w:r>
        <w:t xml:space="preserve">_ – Craig Mundie, writing in Foreign Affairs magazine</w:t>
      </w:r>
      <w:r>
        <w:t xml:space="preserve"> </w:t>
      </w:r>
      <w:r>
        <w:t xml:space="preserve">(</w:t>
      </w:r>
      <w:hyperlink w:anchor="ref-mundie2014">
        <w:r>
          <w:rPr>
            <w:rStyle w:val="Hyperlink"/>
          </w:rPr>
          <w:t xml:space="preserve">Mundie, 2014</w:t>
        </w:r>
      </w:hyperlink>
      <w:r>
        <w:t xml:space="preserve">)</w:t>
      </w:r>
    </w:p>
    <w:p>
      <w:pPr>
        <w:pStyle w:val="FirstParagraph"/>
      </w:pPr>
      <w:r>
        <w:t xml:space="preserve">Based on what I have learned in the formation of the Human Data Relations agenda, such an attitude is defeatist. It is certainly possible to give people an understanding of a large part of what is happening in their digital lives. And I believe that the concept of</w:t>
      </w:r>
      <w:r>
        <w:t xml:space="preserve"> </w:t>
      </w:r>
      <w:r>
        <w:rPr>
          <w:iCs/>
          <w:i/>
        </w:rPr>
        <w:t xml:space="preserve">ecosystem information</w:t>
      </w:r>
      <w:r>
        <w:t xml:space="preserve"> </w:t>
      </w:r>
      <w:hyperlink w:anchor="Xc8e800b130e88f8d15b2c092b8d2fd1e5eaa830">
        <w:r>
          <w:rPr>
            <w:rStyle w:val="Hyperlink"/>
          </w:rPr>
          <w:t xml:space="preserve">7.1</w:t>
        </w:r>
      </w:hyperlink>
      <w:r>
        <w:t xml:space="preserve"> </w:t>
      </w:r>
      <w:r>
        <w:t xml:space="preserve">is central to this. My research showed that 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10.3">
        <w:r>
          <w:rPr>
            <w:rStyle w:val="Hyperlink"/>
          </w:rPr>
          <w:t xml:space="preserve">Figure 10.3</w:t>
        </w:r>
      </w:hyperlink>
      <w:r>
        <w:t xml:space="preserve">]:</w:t>
      </w:r>
    </w:p>
    <w:p>
      <w:pPr>
        <w:pStyle w:val="CaptionedFigure"/>
      </w:pPr>
      <w:r>
        <w:drawing>
          <wp:inline>
            <wp:extent cx="5334000" cy="2714255"/>
            <wp:effectExtent b="0" l="0" r="0" t="0"/>
            <wp:docPr descr="Figure 10.3: SubsCrab: An Example Application for Ecosystem Detection and Visualisation" title="" id="30" name="Picture"/>
            <a:graphic>
              <a:graphicData uri="http://schemas.openxmlformats.org/drawingml/2006/picture">
                <pic:pic>
                  <pic:nvPicPr>
                    <pic:cNvPr descr="./src/figs/fig10.3-subscrab.png" id="31" name="Picture"/>
                    <pic:cNvPicPr>
                      <a:picLocks noChangeArrowheads="1" noChangeAspect="1"/>
                    </pic:cNvPicPr>
                  </pic:nvPicPr>
                  <pic:blipFill>
                    <a:blip r:embed="rId29"/>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10.3: SubsCrab: An Example Application for Ecosystem Detection and Visualisation</w:t>
      </w:r>
    </w:p>
    <w:p>
      <w:pPr>
        <w:pStyle w:val="BodyTex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done with a commercial focus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p>
      <w:pPr>
        <w:pStyle w:val="BodyTex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bookmarkEnd w:id="32"/>
    <w:bookmarkStart w:id="33" w:name="X84806a72bf350fe0e6a8c78c9f2298cedb603cf"/>
    <w:p>
      <w:pPr>
        <w:pStyle w:val="Heading3"/>
      </w:pPr>
      <w:r>
        <w:rPr>
          <w:rStyle w:val="SectionNumber"/>
        </w:rPr>
        <w:t xml:space="preserve">1.1.5</w:t>
      </w:r>
      <w:r>
        <w:tab/>
      </w:r>
      <w:r>
        <w:t xml:space="preserve">Principle 5: We Must Know Data’s Provenance</w:t>
      </w:r>
    </w:p>
    <w:p>
      <w:pPr>
        <w:pStyle w:val="FirstParagraph"/>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4264450598570cbc4555b1dc961f299ba6f5359">
        <w:r>
          <w:rPr>
            <w:rStyle w:val="Hyperlink"/>
          </w:rPr>
          <w:t xml:space="preserve">5.5.3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96d7e8adc7f12d5c73dc58b089cb28c15f7a28b">
        <w:r>
          <w:rPr>
            <w:rStyle w:val="Hyperlink"/>
          </w:rPr>
          <w:t xml:space="preserve">4.4.3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p>
      <w:pPr>
        <w:pStyle w:val="BodyText"/>
      </w:pPr>
      <w:r>
        <w:rPr>
          <w:bCs/>
          <w:b/>
        </w:rPr>
        <w:t xml:space="preserve">Data must carry with it the details of why it exists, how it came to be, and what has happened to it since its inception.</w:t>
      </w:r>
    </w:p>
    <w:p>
      <w:pPr>
        <w:pStyle w:val="BodyTex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bookmarkEnd w:id="33"/>
    <w:bookmarkStart w:id="37" w:name="X740b49523dbb193f36f6d7acaf4b36344c33fe4"/>
    <w:p>
      <w:pPr>
        <w:pStyle w:val="Heading3"/>
      </w:pPr>
      <w:r>
        <w:rPr>
          <w:rStyle w:val="SectionNumber"/>
        </w:rPr>
        <w:t xml:space="preserve">1.1.6</w:t>
      </w:r>
      <w:r>
        <w:tab/>
      </w:r>
      <w:r>
        <w:t xml:space="preserve">Principle 6: Data Holders use Four Levers of Infrastructural Power</w:t>
      </w:r>
    </w:p>
    <w:p>
      <w:pPr>
        <w:pStyle w:val="CaptionedFigure"/>
      </w:pPr>
      <w:r>
        <w:drawing>
          <wp:inline>
            <wp:extent cx="5334000" cy="5271795"/>
            <wp:effectExtent b="0" l="0" r="0" t="0"/>
            <wp:docPr descr="Figure 10.4: The Four Levers of Infrastructural Power" title="" id="35" name="Picture"/>
            <a:graphic>
              <a:graphicData uri="http://schemas.openxmlformats.org/drawingml/2006/picture">
                <pic:pic>
                  <pic:nvPicPr>
                    <pic:cNvPr descr="./src/figs/fig10.4-infrastructural-power.png" id="36" name="Picture"/>
                    <pic:cNvPicPr>
                      <a:picLocks noChangeArrowheads="1" noChangeAspect="1"/>
                    </pic:cNvPicPr>
                  </pic:nvPicPr>
                  <pic:blipFill>
                    <a:blip r:embed="rId34"/>
                    <a:stretch>
                      <a:fillRect/>
                    </a:stretch>
                  </pic:blipFill>
                  <pic:spPr bwMode="auto">
                    <a:xfrm>
                      <a:off x="0" y="0"/>
                      <a:ext cx="5334000" cy="5271795"/>
                    </a:xfrm>
                    <a:prstGeom prst="rect">
                      <a:avLst/>
                    </a:prstGeom>
                    <a:noFill/>
                    <a:ln w="9525">
                      <a:noFill/>
                      <a:headEnd/>
                      <a:tailEnd/>
                    </a:ln>
                  </pic:spPr>
                </pic:pic>
              </a:graphicData>
            </a:graphic>
          </wp:inline>
        </w:drawing>
      </w:r>
    </w:p>
    <w:p>
      <w:pPr>
        <w:pStyle w:val="ImageCaption"/>
      </w:pPr>
      <w:r>
        <w:t xml:space="preserve">Figure 10.4: The Four Levers of Infrastructural Power</w:t>
      </w:r>
    </w:p>
    <w:p>
      <w:pPr>
        <w:pStyle w:val="BodyText"/>
      </w:pPr>
      <w:r>
        <w:t xml:space="preserve">At Hestia.ai [See</w:t>
      </w:r>
      <w:r>
        <w:t xml:space="preserve"> </w:t>
      </w:r>
      <w:hyperlink w:anchor="IV.2">
        <w:r>
          <w:rPr>
            <w:rStyle w:val="Hyperlink"/>
          </w:rPr>
          <w:t xml:space="preserve">Section IV Introduction</w:t>
        </w:r>
      </w:hyperlink>
      <w:r>
        <w:t xml:space="preserve">] we produced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p>
      <w:pPr>
        <w:pStyle w:val="FirstParagraph"/>
      </w:pPr>
      <w:r>
        <w:t xml:space="preserve">As organisations (especially platforms such as Google or Facebook)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and shown in Figure 10.4, these are:</w:t>
      </w:r>
    </w:p>
    <w:p>
      <w:pPr>
        <w:numPr>
          <w:ilvl w:val="0"/>
          <w:numId w:val="100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Interfaces to Encourage More User Activity</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Partner Relations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06"/>
        </w:numPr>
        <w:pStyle w:val="Compact"/>
      </w:pPr>
      <w:r>
        <w:rPr>
          <w:bCs/>
          <w:b/>
        </w:rPr>
        <w:t xml:space="preserve">Configure Services to Disadvantage Competitors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p>
      <w:pPr>
        <w:pStyle w:val="FirstParagraph"/>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t xml:space="preserve">The research highlights that platform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 Common to the last three levers is an implicit, if not malicious, dishonesty; all three rely upon changing other actors’ perceptions and understanding of the landscape, such that they might be more likely to act in the platform provider’s interest.</w:t>
      </w:r>
    </w:p>
    <w:p>
      <w:pPr>
        <w:pStyle w:val="BodyText"/>
      </w:pPr>
      <w:r>
        <w:t xml:space="preserve">The model shows that the accumulation of data (and hence, information) is implicitly and objectively a form of power, consistent with participants’ observations in</w:t>
      </w:r>
      <w:r>
        <w:t xml:space="preserve"> </w:t>
      </w:r>
      <w:hyperlink w:anchor="X00139890117e70243966276028d2cd05592d54b">
        <w:r>
          <w:rPr>
            <w:rStyle w:val="Hyperlink"/>
          </w:rPr>
          <w:t xml:space="preserve">5.5.4</w:t>
        </w:r>
      </w:hyperlink>
      <w:r>
        <w:t xml:space="preserve">. As long as current service providers are free to collect so much personal information, the information landscape is likely to remain imbalanced and individuals will not be able to acquire ecosystem negotiability.</w:t>
      </w:r>
    </w:p>
    <w:p>
      <w:pPr>
        <w:pStyle w:val="BodyTex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bookmarkEnd w:id="37"/>
    <w:bookmarkStart w:id="50" w:name="X3f5ed509120a18ca3fa0447ccb85afcab1b37b3"/>
    <w:p>
      <w:pPr>
        <w:pStyle w:val="Heading3"/>
      </w:pPr>
      <w:r>
        <w:rPr>
          <w:rStyle w:val="SectionNumber"/>
        </w:rPr>
        <w:t xml:space="preserve">1.1.7</w:t>
      </w:r>
      <w:r>
        <w:tab/>
      </w:r>
      <w:r>
        <w:t xml:space="preserve">Principle 7: Human-centred Information Systems must serve Human Values, Relieve Pain and Deliver New Life Capabilities</w:t>
      </w:r>
    </w:p>
    <w:p>
      <w:pPr>
        <w:pStyle w:val="FirstParagraph"/>
      </w:pPr>
      <w:r>
        <w:t xml:space="preserve">This principle aims to combat the challenges outlined in</w:t>
      </w:r>
      <w:r>
        <w:t xml:space="preserve"> </w:t>
      </w:r>
      <w:hyperlink w:anchor="X1f15683c2b3e08fe96ef083dd1427b28321d1a3">
        <w:r>
          <w:rPr>
            <w:rStyle w:val="Hyperlink"/>
          </w:rPr>
          <w:t xml:space="preserve">8.5</w:t>
        </w:r>
      </w:hyperlink>
      <w:r>
        <w:t xml:space="preserve">, that there is a lack of individual demand and a question over the commercial viability of human-centred information systems. Given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The way people find value in data is to connect it their lives. The more that people see relatable life information and can imagine ways to harness that information in their everyday life, the more motivated they are likely to be. By starting with a focus on a user’s world, one can then focus in on their life, and then the data that represents elements of that life. Then, the individual has a vested interest; the abstract becomes meaningful and the theoretical becomes possible. Systems and features should be designed from this life-centric perspective, identifying what people want to achieve and designing around these needs.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w:t>
      </w:r>
    </w:p>
    <w:p>
      <w:pPr>
        <w:pStyle w:val="BodyText"/>
      </w:pPr>
      <w:r>
        <w:t xml:space="preserve">However, a key consideration for design in this space is that any technology that handles or represents personal data is designed in a way that is</w:t>
      </w:r>
      <w:r>
        <w:t xml:space="preserve"> </w:t>
      </w:r>
      <w:r>
        <w:rPr>
          <w:iCs/>
          <w:i/>
        </w:rPr>
        <w:t xml:space="preserve">value-sensitive</w:t>
      </w:r>
      <w:r>
        <w:t xml:space="preserve">. This is distinct from value-centred design, which focuses on shaping a technology design directly around the needs of the user it serves. As Batya Friedman explains</w:t>
      </w:r>
      <w:r>
        <w:t xml:space="preserve"> </w:t>
      </w:r>
      <w:r>
        <w:t xml:space="preserve">(</w:t>
      </w:r>
      <w:hyperlink w:anchor="ref-friedman2019">
        <w:r>
          <w:rPr>
            <w:rStyle w:val="Hyperlink"/>
          </w:rPr>
          <w:t xml:space="preserve">Friedman and Hendry, 2019</w:t>
        </w:r>
      </w:hyperlink>
      <w:r>
        <w:t xml:space="preserve">)</w:t>
      </w:r>
      <w:r>
        <w:t xml:space="preserve">,</w:t>
      </w:r>
      <w:r>
        <w:t xml:space="preserve"> </w:t>
      </w:r>
      <w:r>
        <w:rPr>
          <w:iCs/>
          <w:i/>
        </w:rPr>
        <w:t xml:space="preserve">value-sensitive design</w:t>
      </w:r>
      <w:r>
        <w:t xml:space="preserve"> </w:t>
      </w:r>
      <w:r>
        <w:t xml:space="preserve">is about ensuring that human values are incorporated into the design thinking behind every feature of a system.</w:t>
      </w:r>
    </w:p>
    <w:p>
      <w:pPr>
        <w:pStyle w:val="BodyText"/>
      </w:pPr>
      <w:r>
        <w:t xml:space="preserve">BBC R&amp;D explored how to better connect people with their data, and in doing so gained clarity on what those values might be. A research project was carried out</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10.5">
        <w:r>
          <w:rPr>
            <w:rStyle w:val="Hyperlink"/>
          </w:rPr>
          <w:t xml:space="preserve">Figure 10.5</w:t>
        </w:r>
      </w:hyperlink>
      <w:r>
        <w:t xml:space="preserve">. These are, at the most abstract, goals that people care about in their daily existence.</w:t>
      </w:r>
    </w:p>
    <w:p>
      <w:pPr>
        <w:pStyle w:val="CaptionedFigure"/>
      </w:pPr>
      <w:r>
        <w:drawing>
          <wp:inline>
            <wp:extent cx="5334000" cy="2552153"/>
            <wp:effectExtent b="0" l="0" r="0" t="0"/>
            <wp:docPr descr="Figure 10.5: Human Values, as Identified in BBC R&amp;D Research Funded by Nesta" title="" id="39" name="Picture"/>
            <a:graphic>
              <a:graphicData uri="http://schemas.openxmlformats.org/drawingml/2006/picture">
                <pic:pic>
                  <pic:nvPicPr>
                    <pic:cNvPr descr="./src/figs/fig10.5-bbc-human-values.png" id="40" name="Picture"/>
                    <pic:cNvPicPr>
                      <a:picLocks noChangeArrowheads="1" noChangeAspect="1"/>
                    </pic:cNvPicPr>
                  </pic:nvPicPr>
                  <pic:blipFill>
                    <a:blip r:embed="rId38"/>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10.5: Human Values, as Identified in BBC R&amp;D Research Funded by Nesta</w:t>
      </w:r>
    </w:p>
    <w:p>
      <w:pPr>
        <w:pStyle w:val="BodyText"/>
      </w:pPr>
      <w:r>
        <w:t xml:space="preserve">Applying the principles of value-sensitive design, it will be critical to keep these desires in mind when desigining human-centred information systems. If a design does not help with one or more of these values, it will be less likely to succeed. But conversely, these values may offer designers a way to combat the indifference and apathy of users described in</w:t>
      </w:r>
      <w:r>
        <w:t xml:space="preserve"> </w:t>
      </w:r>
      <w:hyperlink w:anchor="X73c54d47cc406011bd3964962f1e869d501afa4">
        <w:r>
          <w:rPr>
            <w:rStyle w:val="Hyperlink"/>
          </w:rPr>
          <w:t xml:space="preserve">8.5.1</w:t>
        </w:r>
      </w:hyperlink>
      <w:r>
        <w:t xml:space="preserve">.</w:t>
      </w:r>
    </w:p>
    <w:p>
      <w:pPr>
        <w:pStyle w:val="BodyText"/>
      </w:pPr>
      <w:r>
        <w:t xml:space="preserve">Moving from design philosophy to design practicalities, how can we begin to design to a human-centric information system that people want to use? To help with this design challenge, I look to business modelling, where a tool is called the</w:t>
      </w:r>
      <w:r>
        <w:t xml:space="preserve"> </w:t>
      </w:r>
      <w:r>
        <w:rPr>
          <w:iCs/>
          <w:i/>
        </w:rPr>
        <w:t xml:space="preserve">value proposition canvas</w:t>
      </w:r>
      <w:r>
        <w:t xml:space="preserve"> </w:t>
      </w:r>
      <w:r>
        <w:t xml:space="preserve">is used. This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Against this framing,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p>
      <w:pPr>
        <w:pStyle w:val="BodyTex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w:t>
      </w:r>
      <w:r>
        <w:t xml:space="preserve"> </w:t>
      </w:r>
      <w:hyperlink w:anchor="figure-10.6">
        <w:r>
          <w:rPr>
            <w:rStyle w:val="Hyperlink"/>
          </w:rPr>
          <w:t xml:space="preserve">Figure 10.6</w:t>
        </w:r>
      </w:hyperlink>
      <w:r>
        <w:t xml:space="preserve"> </w:t>
      </w:r>
      <w:r>
        <w:t xml:space="preserve">shows a possible strategic path built around this need that we mapped out, beginning with detecting ecosystem and life information from the individual’s calendar and e-mail inbox, through to building up to more holistic life-level PDS capabilities.</w:t>
      </w:r>
    </w:p>
    <w:p>
      <w:pPr>
        <w:pStyle w:val="CaptionedFigure"/>
      </w:pPr>
      <w:r>
        <w:drawing>
          <wp:inline>
            <wp:extent cx="5334000" cy="2228068"/>
            <wp:effectExtent b="0" l="0" r="0" t="0"/>
            <wp:docPr descr="Figure 10.6: A Contact-and-Calendar-centric PDS Approach" title="" id="42" name="Picture"/>
            <a:graphic>
              <a:graphicData uri="http://schemas.openxmlformats.org/drawingml/2006/picture">
                <pic:pic>
                  <pic:nvPicPr>
                    <pic:cNvPr descr="./src/figs/fig10.6-calendar-contact-centric-PDS-strategy.png" id="43" name="Picture"/>
                    <pic:cNvPicPr>
                      <a:picLocks noChangeArrowheads="1" noChangeAspect="1"/>
                    </pic:cNvPicPr>
                  </pic:nvPicPr>
                  <pic:blipFill>
                    <a:blip r:embed="rId41"/>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10.6: A Contact-and-Calendar-centric PDS Approach</w:t>
      </w:r>
    </w:p>
    <w:p>
      <w:pPr>
        <w:pStyle w:val="BodyTex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10.7">
        <w:r>
          <w:rPr>
            <w:rStyle w:val="Hyperlink"/>
          </w:rPr>
          <w:t xml:space="preserve">Figure 10.7</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10.8">
        <w:r>
          <w:rPr>
            <w:rStyle w:val="Hyperlink"/>
          </w:rPr>
          <w:t xml:space="preserve">Figure 10.8</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p>
      <w:pPr>
        <w:pStyle w:val="CaptionedFigure"/>
      </w:pPr>
      <w:r>
        <w:drawing>
          <wp:inline>
            <wp:extent cx="5334000" cy="3261986"/>
            <wp:effectExtent b="0" l="0" r="0" t="0"/>
            <wp:docPr descr="Figure 10.7: The Scattered Data Relating to a Vacation" title="" id="45" name="Picture"/>
            <a:graphic>
              <a:graphicData uri="http://schemas.openxmlformats.org/drawingml/2006/picture">
                <pic:pic>
                  <pic:nvPicPr>
                    <pic:cNvPr descr="./src/figs/fig10.7-vacation.png" id="46" name="Picture"/>
                    <pic:cNvPicPr>
                      <a:picLocks noChangeArrowheads="1" noChangeAspect="1"/>
                    </pic:cNvPicPr>
                  </pic:nvPicPr>
                  <pic:blipFill>
                    <a:blip r:embed="rId44"/>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10.7: The Scattered Data Relating to a Vacation</w:t>
      </w:r>
    </w:p>
    <w:p>
      <w:pPr>
        <w:pStyle w:val="CaptionedFigure"/>
      </w:pPr>
      <w:r>
        <w:drawing>
          <wp:inline>
            <wp:extent cx="5334000" cy="2857360"/>
            <wp:effectExtent b="0" l="0" r="0" t="0"/>
            <wp:docPr descr="Figure 10.8: Mock-up of a Unified Interface for a Vacation" title="" id="48" name="Picture"/>
            <a:graphic>
              <a:graphicData uri="http://schemas.openxmlformats.org/drawingml/2006/picture">
                <pic:pic>
                  <pic:nvPicPr>
                    <pic:cNvPr descr="./src/figs/fig10.8-holiday-interface.jpg" id="49" name="Picture"/>
                    <pic:cNvPicPr>
                      <a:picLocks noChangeArrowheads="1" noChangeAspect="1"/>
                    </pic:cNvPicPr>
                  </pic:nvPicPr>
                  <pic:blipFill>
                    <a:blip r:embed="rId47"/>
                    <a:stretch>
                      <a:fillRect/>
                    </a:stretch>
                  </pic:blipFill>
                  <pic:spPr bwMode="auto">
                    <a:xfrm>
                      <a:off x="0" y="0"/>
                      <a:ext cx="5334000" cy="2857360"/>
                    </a:xfrm>
                    <a:prstGeom prst="rect">
                      <a:avLst/>
                    </a:prstGeom>
                    <a:noFill/>
                    <a:ln w="9525">
                      <a:noFill/>
                      <a:headEnd/>
                      <a:tailEnd/>
                    </a:ln>
                  </pic:spPr>
                </pic:pic>
              </a:graphicData>
            </a:graphic>
          </wp:inline>
        </w:drawing>
      </w:r>
    </w:p>
    <w:p>
      <w:pPr>
        <w:pStyle w:val="ImageCaption"/>
      </w:pPr>
      <w:r>
        <w:t xml:space="preserve">Figure 10.8: Mock-up of a Unified Interface for a Vacation</w:t>
      </w:r>
    </w:p>
    <w:bookmarkEnd w:id="50"/>
    <w:bookmarkStart w:id="54" w:name="X3dcdab1c509bad2e0128139d3f962d13b9af02c"/>
    <w:p>
      <w:pPr>
        <w:pStyle w:val="Heading3"/>
      </w:pPr>
      <w:r>
        <w:rPr>
          <w:rStyle w:val="SectionNumber"/>
        </w:rPr>
        <w:t xml:space="preserve">1.1.8</w:t>
      </w:r>
      <w:r>
        <w:tab/>
      </w:r>
      <w:r>
        <w:t xml:space="preserve">Principle 8: We Need to Teach Computers To Understand Human Information</w:t>
      </w:r>
    </w:p>
    <w:p>
      <w:pPr>
        <w:pStyle w:val="FirstParagraph"/>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p>
      <w:pPr>
        <w:pStyle w:val="BodyTex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10.9">
        <w:r>
          <w:rPr>
            <w:rStyle w:val="Hyperlink"/>
          </w:rPr>
          <w:t xml:space="preserve">Figure 10.9</w:t>
        </w:r>
      </w:hyperlink>
      <w:r>
        <w:t xml:space="preserve">, we can begin to teach computers what the data we store represents.</w:t>
      </w:r>
    </w:p>
    <w:p>
      <w:pPr>
        <w:pStyle w:val="BodyText"/>
      </w:pPr>
      <w:r>
        <w:t xml:space="preserve">Systems that store data without any understanding of what it represents in the physical/human world will be less powerful and versatile than those that we can train to understand our world. The emergence of</w:t>
      </w:r>
      <w:r>
        <w:t xml:space="preserve"> </w:t>
      </w:r>
      <w:r>
        <w:rPr>
          <w:iCs/>
          <w:i/>
        </w:rPr>
        <w:t xml:space="preserve">Large Language Models (LLMs)</w:t>
      </w:r>
      <w:r>
        <w:t xml:space="preserve"> </w:t>
      </w:r>
      <w:r>
        <w:t xml:space="preserve">like</w:t>
      </w:r>
      <w:r>
        <w:t xml:space="preserve"> </w:t>
      </w:r>
      <w:r>
        <w:rPr>
          <w:iCs/>
          <w:i/>
        </w:rPr>
        <w:t xml:space="preserve">ChatGPT</w:t>
      </w:r>
      <w:r>
        <w:t xml:space="preserve"> </w:t>
      </w:r>
      <w:r>
        <w:t xml:space="preserve">in late 2022 show a promising trajectory here, but also carry great societal risk as they only understand human language, not mathematics, logic, science, or how to distinguish truth from opinion, all of which will be critical if accurate, reliable and trustworthy human-centric life interfaces are to be developed.</w:t>
      </w:r>
    </w:p>
    <w:p>
      <w:pPr>
        <w:pStyle w:val="CaptionedFigure"/>
      </w:pPr>
      <w:r>
        <w:drawing>
          <wp:inline>
            <wp:extent cx="5334000" cy="3061990"/>
            <wp:effectExtent b="0" l="0" r="0" t="0"/>
            <wp:docPr descr="Figure 10.9: Annotating Data with Semantic Context" title="" id="52" name="Picture"/>
            <a:graphic>
              <a:graphicData uri="http://schemas.openxmlformats.org/drawingml/2006/picture">
                <pic:pic>
                  <pic:nvPicPr>
                    <pic:cNvPr descr="./src/figs/fig10.9-semantic-annotation.png" id="53" name="Picture"/>
                    <pic:cNvPicPr>
                      <a:picLocks noChangeArrowheads="1" noChangeAspect="1"/>
                    </pic:cNvPicPr>
                  </pic:nvPicPr>
                  <pic:blipFill>
                    <a:blip r:embed="rId51"/>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10.9: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w:t>
      </w:r>
      <w:r>
        <w:t xml:space="preserve">[</w:t>
      </w:r>
      <w:hyperlink w:anchor="X243f3446bb1226eacba3cdb8b904ef729d6ec9d">
        <w:r>
          <w:rPr>
            <w:rStyle w:val="Hyperlink"/>
          </w:rPr>
          <w:t xml:space="preserve">2.2.3</w:t>
        </w:r>
      </w:hyperlink>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 [</w:t>
      </w:r>
      <w:r>
        <w:t xml:space="preserve">Berners-Lee (</w:t>
      </w:r>
      <w:hyperlink w:anchor="ref-bernersLee2022inruptSolid">
        <w:r>
          <w:rPr>
            <w:rStyle w:val="Hyperlink"/>
          </w:rPr>
          <w:t xml:space="preserve">2022</w:t>
        </w:r>
      </w:hyperlink>
      <w:r>
        <w:t xml:space="preserve">)</w:t>
      </w:r>
      <w:r>
        <w:t xml:space="preserve">;</w:t>
      </w:r>
      <w:r>
        <w:t xml:space="preserve"> </w:t>
      </w:r>
      <w:r>
        <w:t xml:space="preserve">Bansal (</w:t>
      </w:r>
      <w:hyperlink w:anchor="ref-bansal2018">
        <w:r>
          <w:rPr>
            <w:rStyle w:val="Hyperlink"/>
          </w:rPr>
          <w:t xml:space="preserve">2018</w:t>
        </w:r>
      </w:hyperlink>
      <w:r>
        <w:t xml:space="preserve">)</w:t>
      </w:r>
      <w:r>
        <w:t xml:space="preserve">;</w:t>
      </w:r>
      <w:r>
        <w:t xml:space="preserve"> </w:t>
      </w:r>
      <w:hyperlink w:anchor="Xa16e203872bcacabe78d1385e9c7faf62c4c5be">
        <w:r>
          <w:rPr>
            <w:rStyle w:val="Hyperlink"/>
          </w:rPr>
          <w:t xml:space="preserve">9.2</w:t>
        </w:r>
      </w:hyperlink>
      <w:r>
        <w:t xml:space="preserve">] in pursuit of a decentralised web</w:t>
      </w:r>
      <w:r>
        <w:t xml:space="preserve"> </w:t>
      </w:r>
      <w:r>
        <w:t xml:space="preserve">(</w:t>
      </w:r>
      <w:hyperlink w:anchor="ref-verborgh2017">
        <w:r>
          <w:rPr>
            <w:rStyle w:val="Hyperlink"/>
          </w:rPr>
          <w:t xml:space="preserve">Verborgh, 2017</w:t>
        </w:r>
      </w:hyperlink>
      <w:r>
        <w:t xml:space="preserve">)</w:t>
      </w:r>
      <w:r>
        <w:t xml:space="preserve">.</w:t>
      </w:r>
    </w:p>
    <w:bookmarkEnd w:id="54"/>
    <w:bookmarkStart w:id="55" w:name="X7fbc2b022e0428aa6e09e0787866a3e69bd75a4"/>
    <w:p>
      <w:pPr>
        <w:pStyle w:val="Heading3"/>
      </w:pPr>
      <w:r>
        <w:rPr>
          <w:rStyle w:val="SectionNumber"/>
        </w:rPr>
        <w:t xml:space="preserve">1.1.9</w:t>
      </w:r>
      <w:r>
        <w:tab/>
      </w:r>
      <w:r>
        <w:t xml:space="preserve">Principle 9: Individual GDPR requests can Compel Companies to Change Data Practices.</w:t>
      </w:r>
    </w:p>
    <w:p>
      <w:pPr>
        <w:pStyle w:val="FirstParagraph"/>
      </w:pPr>
      <w:r>
        <w:t xml:space="preserve">In this principle, which again looks at a more sociotechnical design perspective,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p>
      <w:pPr>
        <w:pStyle w:val="BodyTex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p>
      <w:pPr>
        <w:pStyle w:val="BodyTex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[See</w:t>
      </w:r>
      <w:r>
        <w:t xml:space="preserve"> </w:t>
      </w:r>
      <w:hyperlink w:anchor="IV.2">
        <w:r>
          <w:rPr>
            <w:rStyle w:val="Hyperlink"/>
          </w:rPr>
          <w:t xml:space="preserve">Section IV Introduction</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bookmarkEnd w:id="55"/>
    <w:bookmarkStart w:id="56" w:name="Xb22aa166b4ca7673bbf885856dbb15909f1e654"/>
    <w:p>
      <w:pPr>
        <w:pStyle w:val="Heading3"/>
      </w:pPr>
      <w:r>
        <w:rPr>
          <w:rStyle w:val="SectionNumber"/>
        </w:rPr>
        <w:t xml:space="preserve">1.1.10</w:t>
      </w:r>
      <w:r>
        <w:tab/>
      </w:r>
      <w:r>
        <w:t xml:space="preserve">Principle 10: Collectives can Compare and Unify their Data and use their Pooled Knowledge to Demand Change.</w:t>
      </w:r>
    </w:p>
    <w:p>
      <w:pPr>
        <w:pStyle w:val="FirstParagraph"/>
      </w:pPr>
      <w:r>
        <w:t xml:space="preserve">Continuing the sociotechnical design focus, it is important to recognise that groups of individuals may be able to achieve more than individuals can on their own. Increasingly, the Internet that each individual experiences is not the same as that experienced by anyone else. Thanks to recommendations, targeted ads and social media feeds personalised to your interests, no two people will see the same digital reality. This makes it much more difficult for regulators or individuals to hold digital service providers to account than their analogue counterparts. In recent years, many activists have embraced</w:t>
      </w:r>
      <w:r>
        <w:t xml:space="preserve"> </w:t>
      </w:r>
      <w:r>
        <w:rPr>
          <w:bCs/>
          <w:b/>
        </w:rPr>
        <w:t xml:space="preserve">the power of collectives</w:t>
      </w:r>
      <w:r>
        <w:t xml:space="preserve"> </w:t>
      </w:r>
      <w:r>
        <w:t xml:space="preserve">to try and fill this regulatory gap, realising that together, they can discover far more than they can alone, and that through such collaboration there is an opportunity to improve awareness of digital providers’ practices.</w:t>
      </w:r>
    </w:p>
    <w:p>
      <w:pPr>
        <w:pStyle w:val="BodyTex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p>
      <w:pPr>
        <w:pStyle w:val="BodyTex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p>
      <w:pPr>
        <w:pStyle w:val="BodyText"/>
      </w:pPr>
      <w:r>
        <w:t xml:space="preserve">As the aforementioned case with Max Schrems showed [</w:t>
      </w:r>
      <w:hyperlink w:anchor="principle-9">
        <w:r>
          <w:rPr>
            <w:rStyle w:val="Hyperlink"/>
          </w:rPr>
          <w:t xml:space="preserve">Principle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[See</w:t>
      </w:r>
      <w:r>
        <w:t xml:space="preserve"> </w:t>
      </w:r>
      <w:hyperlink w:anchor="IV.2">
        <w:r>
          <w:rPr>
            <w:rStyle w:val="Hyperlink"/>
          </w:rPr>
          <w:t xml:space="preserve">Section IV Introduction</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 a powerful vector for impactful discovery-driven activism.</w:t>
      </w:r>
    </w:p>
    <w:bookmarkEnd w:id="56"/>
    <w:bookmarkStart w:id="60" w:name="X441e3d48e753dacfd2fa1a94aedbc2edc739614"/>
    <w:p>
      <w:pPr>
        <w:pStyle w:val="Heading3"/>
      </w:pPr>
      <w:r>
        <w:rPr>
          <w:rStyle w:val="SectionNumber"/>
        </w:rPr>
        <w:t xml:space="preserve">1.1.11</w:t>
      </w:r>
      <w:r>
        <w:tab/>
      </w:r>
      <w:r>
        <w:t xml:space="preserve">Principle 11: Automated Entity Identification could Enhance Machine Understanding and Unburden Life Interface Users.</w:t>
      </w:r>
    </w:p>
    <w:p>
      <w:pPr>
        <w:pStyle w:val="FirstParagraph"/>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10.10">
        <w:r>
          <w:rPr>
            <w:rStyle w:val="Hyperlink"/>
          </w:rPr>
          <w:t xml:space="preserve">Figure 10.10</w:t>
        </w:r>
      </w:hyperlink>
      <w:r>
        <w:t xml:space="preserve"> </w:t>
      </w:r>
      <w:r>
        <w:t xml:space="preserve">shows how a large number of entities could be detected from different parts of an individual’s data once it has been imported into a PDS environment:</w:t>
      </w:r>
    </w:p>
    <w:p>
      <w:pPr>
        <w:pStyle w:val="CaptionedFigure"/>
      </w:pPr>
      <w:r>
        <w:drawing>
          <wp:inline>
            <wp:extent cx="5334000" cy="3913035"/>
            <wp:effectExtent b="0" l="0" r="0" t="0"/>
            <wp:docPr descr="Figure 10.10: Identifying Entity Associations in Data" title="" id="58" name="Picture"/>
            <a:graphic>
              <a:graphicData uri="http://schemas.openxmlformats.org/drawingml/2006/picture">
                <pic:pic>
                  <pic:nvPicPr>
                    <pic:cNvPr descr="./src/figs/fig10.10-finding-entities-in-data.jpg" id="59" name="Picture"/>
                    <pic:cNvPicPr>
                      <a:picLocks noChangeArrowheads="1" noChangeAspect="1"/>
                    </pic:cNvPicPr>
                  </pic:nvPicPr>
                  <pic:blipFill>
                    <a:blip r:embed="rId57"/>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10.10: Identifying Entity Associations in Data</w:t>
      </w:r>
    </w:p>
    <w:p>
      <w:pPr>
        <w:pStyle w:val="BodyTex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as described in [</w:t>
      </w:r>
      <w:hyperlink w:anchor="ari-7.1">
        <w:r>
          <w:rPr>
            <w:rStyle w:val="Hyperlink"/>
          </w:rPr>
          <w:t xml:space="preserve">ARI7.1</w:t>
        </w:r>
      </w:hyperlink>
      <w:r>
        <w:t xml:space="preserve">].</w:t>
      </w:r>
    </w:p>
    <w:p>
      <w:pPr>
        <w:pStyle w:val="BodyTex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p>
      <w:pPr>
        <w:pStyle w:val="BodyTex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principle-4">
        <w:r>
          <w:rPr>
            <w:rStyle w:val="Hyperlink"/>
          </w:rPr>
          <w:t xml:space="preserve">Principle 4</w:t>
        </w:r>
      </w:hyperlink>
      <w:r>
        <w:t xml:space="preserve">–as identification of relationships with external entities is a key first step to mapping a user’s ecosystem.</w:t>
      </w:r>
    </w:p>
    <w:bookmarkEnd w:id="60"/>
    <w:bookmarkStart w:id="61" w:name="Xcc5a468614f7ba32d4c799cee001060f73fe7a1"/>
    <w:p>
      <w:pPr>
        <w:pStyle w:val="Heading3"/>
      </w:pPr>
      <w:r>
        <w:rPr>
          <w:rStyle w:val="SectionNumber"/>
        </w:rPr>
        <w:t xml:space="preserve">1.1.12</w:t>
      </w:r>
      <w:r>
        <w:tab/>
      </w:r>
      <w:r>
        <w:t xml:space="preserve">Principle 12: The</w:t>
      </w:r>
      <w:r>
        <w:t xml:space="preserve"> </w:t>
      </w:r>
      <w:r>
        <w:t xml:space="preserve">‘</w:t>
      </w:r>
      <w:r>
        <w:t xml:space="preserve">Seams</w:t>
      </w:r>
      <w:r>
        <w:t xml:space="preserve">’</w:t>
      </w:r>
      <w:r>
        <w:t xml:space="preserve"> </w:t>
      </w:r>
      <w:r>
        <w:t xml:space="preserve">of Digital Services need to be Identified, Exploited and Protected.</w:t>
      </w:r>
    </w:p>
    <w:p>
      <w:pPr>
        <w:pStyle w:val="FirstParagraph"/>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p>
      <w:pPr>
        <w:pStyle w:val="BodyTex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p>
      <w:pPr>
        <w:pStyle w:val="BodyText"/>
      </w:pPr>
      <w:r>
        <w:rPr>
          <w:bCs/>
          <w:b/>
        </w:rPr>
        <w:t xml:space="preserve">An unseen battle is for the free flow of information is underway</w:t>
      </w:r>
      <w:r>
        <w:t xml:space="preserve"> </w:t>
      </w:r>
      <w:r>
        <w:t xml:space="preserve">at the seams of today’s digital products.</w:t>
      </w:r>
    </w:p>
    <w:p>
      <w:pPr>
        <w:pStyle w:val="BodyText"/>
      </w:pPr>
      <w:r>
        <w:t xml:space="preserve">Hackers, civic activists and makers seek to repurpose and exploit the edges of products for their own means, while digital service providers and platforms try to block such activity. For example:</w:t>
      </w:r>
    </w:p>
    <w:p>
      <w:pPr>
        <w:numPr>
          <w:ilvl w:val="0"/>
          <w:numId w:val="1007"/>
        </w:numPr>
        <w:pStyle w:val="Compact"/>
      </w:pPr>
      <w:r>
        <w:t xml:space="preserve">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p>
      <w:pPr>
        <w:numPr>
          <w:ilvl w:val="0"/>
          <w:numId w:val="1007"/>
        </w:numPr>
        <w:pStyle w:val="Compact"/>
      </w:pPr>
      <w:r>
        <w:t xml:space="preserve">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p>
      <w:pPr>
        <w:numPr>
          <w:ilvl w:val="0"/>
          <w:numId w:val="1007"/>
        </w:numPr>
        <w:pStyle w:val="Compact"/>
      </w:pPr>
      <w:r>
        <w:t xml:space="preserve">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p>
      <w:pPr>
        <w:numPr>
          <w:ilvl w:val="0"/>
          <w:numId w:val="1007"/>
        </w:numPr>
        <w:pStyle w:val="Compact"/>
      </w:pPr>
      <w:r>
        <w:t xml:space="preserve">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p>
      <w:pPr>
        <w:numPr>
          <w:ilvl w:val="0"/>
          <w:numId w:val="1007"/>
        </w:numPr>
        <w:pStyle w:val="Compact"/>
      </w:pPr>
      <w:r>
        <w:t xml:space="preserve">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p>
      <w:pPr>
        <w:numPr>
          <w:ilvl w:val="0"/>
          <w:numId w:val="1007"/>
        </w:numPr>
        <w:pStyle w:val="Compact"/>
      </w:pPr>
      <w:r>
        <w:t xml:space="preserve">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principle-10">
        <w:r>
          <w:rPr>
            <w:rStyle w:val="Hyperlink"/>
          </w:rPr>
          <w:t xml:space="preserve">Principle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p>
      <w:pPr>
        <w:numPr>
          <w:ilvl w:val="0"/>
          <w:numId w:val="1007"/>
        </w:numPr>
        <w:pStyle w:val="Compact"/>
      </w:pPr>
      <w:r>
        <w:t xml:space="preserve">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p>
      <w:pPr>
        <w:pStyle w:val="FirstParagraph"/>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p>
      <w:pPr>
        <w:numPr>
          <w:ilvl w:val="0"/>
          <w:numId w:val="1008"/>
        </w:numPr>
        <w:pStyle w:val="Compact"/>
      </w:pPr>
      <w:r>
        <w:t xml:space="preserve">To</w:t>
      </w:r>
      <w:r>
        <w:t xml:space="preserve"> </w:t>
      </w:r>
      <w:r>
        <w:rPr>
          <w:bCs/>
          <w:b/>
        </w:rPr>
        <w:t xml:space="preserve">surface information injustices</w:t>
      </w:r>
      <w:r>
        <w:t xml:space="preserve">, especially the closures of seams. |</w:t>
      </w:r>
    </w:p>
    <w:p>
      <w:pPr>
        <w:numPr>
          <w:ilvl w:val="0"/>
          <w:numId w:val="1008"/>
        </w:numPr>
        <w:pStyle w:val="Compact"/>
      </w:pPr>
      <w:r>
        <w:t xml:space="preserve">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p>
      <w:pPr>
        <w:pStyle w:val="FirstParagraph"/>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bookmarkEnd w:id="61"/>
    <w:bookmarkStart w:id="62" w:name="X726d7f66e1d1234ffed60c51f1b5decd7fd7f04"/>
    <w:p>
      <w:pPr>
        <w:pStyle w:val="Heading3"/>
      </w:pPr>
      <w:r>
        <w:rPr>
          <w:rStyle w:val="SectionNumber"/>
        </w:rPr>
        <w:t xml:space="preserve">1.1.13</w:t>
      </w:r>
      <w:r>
        <w:tab/>
      </w:r>
      <w:r>
        <w:t xml:space="preserve">Principle 13: We could Demonstrate Business Benefits of Transparency and Human-centricity</w:t>
      </w:r>
    </w:p>
    <w:p>
      <w:pPr>
        <w:pStyle w:val="FirstParagraph"/>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not just possible but essential that work is done to persuade data-holding organisations of the benefits of moving towards the new paradigms outlined in this thesis. The following avenues for possible future research and advocacy toward data holding organisations have been identified:</w:t>
      </w:r>
    </w:p>
    <w:p>
      <w:pPr>
        <w:numPr>
          <w:ilvl w:val="0"/>
          <w:numId w:val="1009"/>
        </w:numPr>
        <w:pStyle w:val="Compact"/>
      </w:pPr>
      <w:r>
        <w:rPr>
          <w:bCs/>
          <w:b/>
        </w:rPr>
        <w:t xml:space="preserve">Trust &amp; Reputation</w:t>
      </w:r>
      <w:r>
        <w:t xml:space="preserve">: In line with the third</w:t>
      </w:r>
      <w:r>
        <w:t xml:space="preserve"> </w:t>
      </w:r>
      <w:r>
        <w:rPr>
          <w:iCs/>
          <w:i/>
        </w:rPr>
        <w:t xml:space="preserve">public relations</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e3c54ec1686b257c15fe3bd98af9e08d983b8ab">
        <w:r>
          <w:rPr>
            <w:rStyle w:val="Hyperlink"/>
          </w:rPr>
          <w:t xml:space="preserve">4.4.4</w:t>
        </w:r>
      </w:hyperlink>
      <w:r>
        <w:t xml:space="preserve">,</w:t>
      </w:r>
      <w:r>
        <w:t xml:space="preserve"> </w:t>
      </w:r>
      <w:hyperlink w:anchor="Xfd5e5d395c7cb4645820b58e23fdf6fe34349ab">
        <w:r>
          <w:rPr>
            <w:rStyle w:val="Hyperlink"/>
          </w:rPr>
          <w:t xml:space="preserve">4.5.1</w:t>
        </w:r>
      </w:hyperlink>
      <w:r>
        <w:t xml:space="preserve">,</w:t>
      </w:r>
      <w:r>
        <w:t xml:space="preserve"> </w:t>
      </w:r>
      <w:hyperlink w:anchor="X50cfb66b1912fccfdb12a41362d2393042887e5">
        <w:r>
          <w:rPr>
            <w:rStyle w:val="Hyperlink"/>
          </w:rPr>
          <w:t xml:space="preserve">5.6.2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p>
      <w:pPr>
        <w:numPr>
          <w:ilvl w:val="0"/>
          <w:numId w:val="1009"/>
        </w:numPr>
        <w:pStyle w:val="Compact"/>
      </w:pP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fd5e5d395c7cb4645820b58e23fdf6fe34349ab">
        <w:r>
          <w:rPr>
            <w:rStyle w:val="Hyperlink"/>
          </w:rPr>
          <w:t xml:space="preserve">4.5.1</w:t>
        </w:r>
      </w:hyperlink>
      <w:r>
        <w:t xml:space="preserve">;</w:t>
      </w:r>
      <w:r>
        <w:t xml:space="preserve"> </w:t>
      </w:r>
      <w:hyperlink w:anchor="X50cfb66b1912fccfdb12a41362d2393042887e5">
        <w:r>
          <w:rPr>
            <w:rStyle w:val="Hyperlink"/>
          </w:rPr>
          <w:t xml:space="preserve">5.6.2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p>
      <w:pPr>
        <w:numPr>
          <w:ilvl w:val="0"/>
          <w:numId w:val="1009"/>
        </w:numPr>
        <w:pStyle w:val="Compact"/>
      </w:pP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504a380131537ca023ba35dc482b1ac74b6aba1">
        <w:r>
          <w:rPr>
            <w:rStyle w:val="Hyperlink"/>
          </w:rPr>
          <w:t xml:space="preserve">4.4.3</w:t>
        </w:r>
      </w:hyperlink>
      <w:r>
        <w:t xml:space="preserve">,</w:t>
      </w:r>
      <w:r>
        <w:t xml:space="preserve"> </w:t>
      </w:r>
      <w:hyperlink w:anchor="X7481ad987ac6949d28340eb658a28e09f325713">
        <w:r>
          <w:rPr>
            <w:rStyle w:val="Hyperlink"/>
          </w:rPr>
          <w:t xml:space="preserve">6.2.3</w:t>
        </w:r>
      </w:hyperlink>
      <w:r>
        <w:t xml:space="preserve">]</w:t>
      </w:r>
    </w:p>
    <w:p>
      <w:pPr>
        <w:numPr>
          <w:ilvl w:val="0"/>
          <w:numId w:val="1009"/>
        </w:numPr>
        <w:pStyle w:val="Compact"/>
      </w:pP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p>
      <w:pPr>
        <w:numPr>
          <w:ilvl w:val="0"/>
          <w:numId w:val="1009"/>
        </w:numPr>
        <w:pStyle w:val="Compact"/>
      </w:pP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p>
      <w:pPr>
        <w:pStyle w:val="FirstParagraph"/>
      </w:pPr>
      <w:r>
        <w:t xml:space="preserve">The 13 principles that have been asserted in this section are by no means the only principles that guide the HDR agenda, nor are they necessarily the most important. However, they are the ones that I have been discovered, understood and refined through the pursuit of the six human needs [</w:t>
      </w:r>
      <w:hyperlink w:anchor="chapter-6">
        <w:r>
          <w:rPr>
            <w:rStyle w:val="Hyperlink"/>
          </w:rPr>
          <w:t xml:space="preserve">Chapter 6</w:t>
        </w:r>
      </w:hyperlink>
      <w:r>
        <w:t xml:space="preserve">] through my embedded involvement with the four projects [See</w:t>
      </w:r>
      <w:r>
        <w:t xml:space="preserve"> </w:t>
      </w:r>
      <w:hyperlink w:anchor="section-iv-embedded-project-settings">
        <w:r>
          <w:rPr>
            <w:rStyle w:val="Hyperlink"/>
          </w:rPr>
          <w:t xml:space="preserve">Section IV Introduction</w:t>
        </w:r>
      </w:hyperlink>
      <w:r>
        <w:t xml:space="preserve">] as well as self-experimentation and prior design thinking. They are located here within the conclusion of the thesis because they constitute the most tangible and actionable learnings of the thesis; the first steps that will guide an HDR reformer as they embark on the pursuit of the HDR agenda in their design, research, transformation or innovation work. The remainder of this chapter will reflect upon the challenges of pursuing that agenda and the legacy, impact and limitations of this body of research.</w:t>
      </w:r>
    </w:p>
    <w:bookmarkEnd w:id="62"/>
    <w:bookmarkEnd w:id="63"/>
    <w:bookmarkStart w:id="65" w:name="X371db1d0b9b28e14ec02e1c64c79e0a5f7c2a2d"/>
    <w:p>
      <w:pPr>
        <w:pStyle w:val="Heading2"/>
      </w:pPr>
      <w:r>
        <w:rPr>
          <w:rStyle w:val="SectionNumber"/>
        </w:rPr>
        <w:t xml:space="preserve">1.2</w:t>
      </w:r>
      <w:r>
        <w:tab/>
      </w:r>
      <w:r>
        <w:t xml:space="preserve">Pragmatic Reflections on Pursuing Better HDR</w:t>
      </w:r>
    </w:p>
    <w:p>
      <w:pPr>
        <w:pStyle w:val="FirstParagraph"/>
      </w:pPr>
      <w:r>
        <w:t xml:space="preserve">This section will reflect upon the proposed objectives and approaches towards better HDR laid out in Sections</w:t>
      </w:r>
      <w:r>
        <w:t xml:space="preserve"> </w:t>
      </w:r>
      <w:hyperlink w:anchor="section-iii">
        <w:r>
          <w:rPr>
            <w:rStyle w:val="Hyperlink"/>
          </w:rPr>
          <w:t xml:space="preserve">III</w:t>
        </w:r>
      </w:hyperlink>
      <w:r>
        <w:t xml:space="preserve"> </w:t>
      </w:r>
      <w:r>
        <w:t xml:space="preserve">and</w:t>
      </w:r>
      <w:r>
        <w:t xml:space="preserve"> </w:t>
      </w:r>
      <w:hyperlink w:anchor="section-iv">
        <w:r>
          <w:rPr>
            <w:rStyle w:val="Hyperlink"/>
          </w:rPr>
          <w:t xml:space="preserve">IV</w:t>
        </w:r>
      </w:hyperlink>
      <w:r>
        <w:t xml:space="preserve">, from a critically pragmatic and broad perspective. One of the first things to note is that while</w:t>
      </w:r>
      <w:r>
        <w:t xml:space="preserve"> </w:t>
      </w:r>
      <w:hyperlink w:anchor="chapter-8">
        <w:r>
          <w:rPr>
            <w:rStyle w:val="Hyperlink"/>
          </w:rPr>
          <w:t xml:space="preserve">Chapter 8</w:t>
        </w:r>
      </w:hyperlink>
      <w:r>
        <w:t xml:space="preserve"> </w:t>
      </w:r>
      <w:r>
        <w:t xml:space="preserve">identified many of the clearest obstacles to the HDR objectives, it should by no means be considered exhaustive or complete. It is important to recognise the uphill struggle that faces anyone pursuing an HDR agenda, and that there are many forces working against the HDR reformer, including but not limited to commerce, resistance to change, insufficiently effective regulation, insufficent funding, technical challenges, disinterest by almost all parties, and the normalising effect of the status quo. HDR requires not just a halt of current data-centric trends but an about-turn and pivot to a completely different model of organisational personal data handling. In the Principles, insights and Approaches presented in Sections</w:t>
      </w:r>
      <w:r>
        <w:t xml:space="preserve"> </w:t>
      </w:r>
      <w:hyperlink w:anchor="section-iv">
        <w:r>
          <w:rPr>
            <w:rStyle w:val="Hyperlink"/>
          </w:rPr>
          <w:t xml:space="preserve">IV</w:t>
        </w:r>
      </w:hyperlink>
      <w:r>
        <w:t xml:space="preserve"> </w:t>
      </w:r>
      <w:r>
        <w:t xml:space="preserve">and</w:t>
      </w:r>
      <w:r>
        <w:t xml:space="preserve"> </w:t>
      </w:r>
      <w:hyperlink w:anchor="section-v">
        <w:r>
          <w:rPr>
            <w:rStyle w:val="Hyperlink"/>
          </w:rPr>
          <w:t xml:space="preserve">V</w:t>
        </w:r>
      </w:hyperlink>
      <w:r>
        <w:t xml:space="preserve"> </w:t>
      </w:r>
      <w:r>
        <w:t xml:space="preserve">through which I attempt to operationalise the HDR agenda, I lay out a direction of travel, highlighting the actions that appear to be the best chances to succeed, not a complete answer. The HDR agenda is explored both from within the system, and from outside the system, and it is possible that even with parties pursuing both conformist and activist approaches in parallel that this may not be enough to bring about the desired change. Nonetheless, the cause of better human-data relations is clearly a worthwhile one for society.</w:t>
      </w:r>
    </w:p>
    <w:p>
      <w:pPr>
        <w:pStyle w:val="BodyText"/>
      </w:pPr>
      <w:r>
        <w:t xml:space="preserve">The challenges of better Human Data Relations are intrinsically sociotechnical. They cannot be solved by technological design, by law or by social change alone. This was one of the reasons why it was important to lay out a variety of approaches in the recommendations from the Case Studies in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and in the HDR approaches in</w:t>
      </w:r>
      <w:r>
        <w:t xml:space="preserve"> </w:t>
      </w:r>
      <w:hyperlink w:anchor="chapter-9">
        <w:r>
          <w:rPr>
            <w:rStyle w:val="Hyperlink"/>
          </w:rPr>
          <w:t xml:space="preserve">Chapter 9</w:t>
        </w:r>
      </w:hyperlink>
      <w:r>
        <w:t xml:space="preserve">. One benefit of this, however, is that practitioners from many different fields ranging from technologists and designers to journalists, activists and civil servants should be able to find something in the Principles or Approaches that they can build upon. One of the underlying needs identified in the findings of Case Study Two [</w:t>
      </w:r>
      <w:hyperlink w:anchor="X2d09f34970bc84346435f2ffe98303e41132089">
        <w:r>
          <w:rPr>
            <w:rStyle w:val="Hyperlink"/>
          </w:rPr>
          <w:t xml:space="preserve">5.6.1</w:t>
        </w:r>
      </w:hyperlink>
      <w:r>
        <w:t xml:space="preserve">] but also where Chapter 9’s approaches hope to influence governments, is that changes in law are required. Like other jurisdictions, both the EU [</w:t>
      </w:r>
      <w:hyperlink w:anchor="X6d06bb31b570b94d7b4325f511f853dbe771c21">
        <w:r>
          <w:rPr>
            <w:rStyle w:val="Hyperlink"/>
          </w:rPr>
          <w:t xml:space="preserve">9.5</w:t>
        </w:r>
      </w:hyperlink>
      <w:r>
        <w:t xml:space="preserve">] and the UK are, at the time or writing in 2023, developing new or changed laws that will affect the use of personal data online; but their interests are not only to protect their citizens, but to help businesses too, not to mention any political interests of those in power. As such, we cannot expect that all legal changes will align with the HDR agenda; in fact, in the UK there are serious concerns that new data protection laws set to replace GDPR following the UK’s exit from the EU could</w:t>
      </w:r>
      <w:r>
        <w:t xml:space="preserve"> </w:t>
      </w:r>
      <w:r>
        <w:rPr>
          <w:iCs/>
          <w:i/>
        </w:rPr>
        <w:t xml:space="preserve">‘</w:t>
      </w:r>
      <w:r>
        <w:rPr>
          <w:iCs/>
          <w:i/>
        </w:rPr>
        <w:t xml:space="preserve">seriously weaken data protection rights</w:t>
      </w:r>
      <w:r>
        <w:rPr>
          <w:iCs/>
          <w:i/>
        </w:rPr>
        <w:t xml:space="preserve">’</w:t>
      </w:r>
      <w:r>
        <w:t xml:space="preserve"> </w:t>
      </w:r>
      <w:r>
        <w:t xml:space="preserve">and cause harm to marginalised communities</w:t>
      </w:r>
      <w:r>
        <w:t xml:space="preserve"> </w:t>
      </w:r>
      <w:r>
        <w:t xml:space="preserve">(</w:t>
      </w:r>
      <w:hyperlink w:anchor="ref-cowburn2023">
        <w:r>
          <w:rPr>
            <w:rStyle w:val="Hyperlink"/>
          </w:rPr>
          <w:t xml:space="preserve">Cowburn, 2023</w:t>
        </w:r>
      </w:hyperlink>
      <w:r>
        <w:t xml:space="preserve">)</w:t>
      </w:r>
      <w:r>
        <w:t xml:space="preserve">. Even the existing GDPR laws, which are designed from a more individual-centric perspective, fail to deliver sufficient benefits in practice, as Case Study Two showed [</w:t>
      </w:r>
      <w:hyperlink w:anchor="X18b35402f3fbcb74b8e5bbc8aa2c0e3e784e473">
        <w:r>
          <w:rPr>
            <w:rStyle w:val="Hyperlink"/>
          </w:rPr>
          <w:t xml:space="preserve">5.5.1</w:t>
        </w:r>
      </w:hyperlink>
      <w:r>
        <w:t xml:space="preserve">]. So, it is important to acknowledge that while regulation is one of the most promising routes to achieving better HDR, it may not happen and it may not be sufficient even if it does happen. It would also require a more paternalistic attitude to protecting individuals, which goes against the libertarian trends of the early 2020s political landscape in the West.</w:t>
      </w:r>
    </w:p>
    <w:p>
      <w:pPr>
        <w:pStyle w:val="BodyText"/>
      </w:pPr>
      <w:r>
        <w:t xml:space="preserve">In</w:t>
      </w:r>
      <w:r>
        <w:t xml:space="preserve"> </w:t>
      </w:r>
      <w:hyperlink w:anchor="Xf9f33482da53ff8cae20b0359720e365ffcc25c">
        <w:r>
          <w:rPr>
            <w:rStyle w:val="Hyperlink"/>
          </w:rPr>
          <w:t xml:space="preserve">1.2.3</w:t>
        </w:r>
      </w:hyperlink>
      <w:r>
        <w:t xml:space="preserve"> </w:t>
      </w:r>
      <w:r>
        <w:t xml:space="preserve">and</w:t>
      </w:r>
      <w:r>
        <w:t xml:space="preserve"> </w:t>
      </w:r>
      <w:hyperlink w:anchor="X43e9993d763761df3960c67ee4532381f46fe67">
        <w:r>
          <w:rPr>
            <w:rStyle w:val="Hyperlink"/>
          </w:rPr>
          <w:t xml:space="preserve">9.6.1</w:t>
        </w:r>
      </w:hyperlink>
      <w:r>
        <w:t xml:space="preserve">, I highlight the need for better education and data literacy around Human Data Relations: the need for better understandings about the intrinsic personal value of data as a source of life information, and the need for better awareness and capability when it comes to exercising data rights and recognising exploitations of power or diminishments of individual agency. This should not be taken as a criticism of the public for not knowing enough, nor does it imply that it is the responsibility of</w:t>
      </w:r>
      <w:r>
        <w:t xml:space="preserve"> </w:t>
      </w:r>
      <w:r>
        <w:t xml:space="preserve">‘</w:t>
      </w:r>
      <w:r>
        <w:t xml:space="preserve">the people</w:t>
      </w:r>
      <w:r>
        <w:t xml:space="preserve">’</w:t>
      </w:r>
      <w:r>
        <w:t xml:space="preserve"> </w:t>
      </w:r>
      <w:r>
        <w:t xml:space="preserve">to demand fairer HDR from providers. We need better data literacy at</w:t>
      </w:r>
      <w:r>
        <w:t xml:space="preserve"> </w:t>
      </w:r>
      <w:r>
        <w:rPr>
          <w:iCs/>
          <w:i/>
        </w:rPr>
        <w:t xml:space="preserve">all</w:t>
      </w:r>
      <w:r>
        <w:t xml:space="preserve"> </w:t>
      </w:r>
      <w:r>
        <w:t xml:space="preserve">levels of society, and perhaps particularly amongst policymakers, public and civic service providers, and politicians, as well as journalists and public figures of all kinds. By targeting those individuals who shape future legislation and have the greatest capacity to influence business and societal norms as well as public opinions, we stand the greatest chance of creating impact. So far, the problems of disempowerment over personal data represent a systemic failure to recognise the negative impacts upon individuals and act in the interests of individual liberty across all aspects of society—including technologists, lawmakers, and media. If the issues are properly understood and pursued by those in positions of power and influence, which is not easy given their complexity, then it should not become a burden upon citizens to become aware of injustice and demand better HDR, but rather the system would already be changing to meet their needs through the actions of those who shape the systems and processes of society. This is why projects such as digipower [See</w:t>
      </w:r>
      <w:r>
        <w:t xml:space="preserve"> </w:t>
      </w:r>
      <w:hyperlink w:anchor="section-iv-intro">
        <w:r>
          <w:rPr>
            <w:rStyle w:val="Hyperlink"/>
          </w:rPr>
          <w:t xml:space="preserve">Section IV Introduction</w:t>
        </w:r>
      </w:hyperlink>
      <w:r>
        <w:t xml:space="preserve">], which aimed specifically to raise awaress of digital power issues among influential European VIPs, and participation in policy consultations by experts such as my contribution to the GDPR Guidelines consultation [</w:t>
      </w:r>
      <w:hyperlink w:anchor="Xaba503b6d4f2cc83a83af1019c0daacd581dd05">
        <w:r>
          <w:rPr>
            <w:rStyle w:val="Hyperlink"/>
          </w:rPr>
          <w:t xml:space="preserve">9.5.3</w:t>
        </w:r>
      </w:hyperlink>
      <w:r>
        <w:t xml:space="preserve">] are vital. HDR reformers will need to continue to educate and influence those who are best placed to change society.</w:t>
      </w:r>
    </w:p>
    <w:p>
      <w:pPr>
        <w:pStyle w:val="BodyText"/>
      </w:pPr>
      <w:r>
        <w:t xml:space="preserve">The issue of individual consent to data sharing has been covered at length in this thesis. In the pilot study [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Case Study One [</w:t>
      </w:r>
      <w:hyperlink w:anchor="X9b6bc637c8e594c1bf8a54bb6977fb0dd171bf3">
        <w:r>
          <w:rPr>
            <w:rStyle w:val="Hyperlink"/>
          </w:rPr>
          <w:t xml:space="preserve">4.5.1</w:t>
        </w:r>
      </w:hyperlink>
      <w:r>
        <w:t xml:space="preserve">], the framing of consent is used to consider whether or not individuals feel sufficiently consulted in matters pertaining to the use of their data, with the conclusion being that dynamic consent is required, and that informed consent produces a</w:t>
      </w:r>
      <w:r>
        <w:t xml:space="preserve"> </w:t>
      </w:r>
      <w:r>
        <w:t xml:space="preserve">‘</w:t>
      </w:r>
      <w:r>
        <w:t xml:space="preserve">point of severance</w:t>
      </w:r>
      <w:r>
        <w:t xml:space="preserve">’</w:t>
      </w:r>
      <w:r>
        <w:t xml:space="preserve"> </w:t>
      </w:r>
      <w:r>
        <w:t xml:space="preserve">beyond which individuals lose control. However, it is important to recognise that consent is just one of the lawful bases for data processing</w:t>
      </w:r>
      <w:r>
        <w:t xml:space="preserve"> </w:t>
      </w:r>
      <w:r>
        <w:t xml:space="preserve">(</w:t>
      </w:r>
      <w:hyperlink w:anchor="ref-ico2022bases">
        <w:r>
          <w:rPr>
            <w:rStyle w:val="Hyperlink"/>
          </w:rPr>
          <w:t xml:space="preserve">‘A guide to lawful basis’</w:t>
        </w:r>
        <w:r>
          <w:rPr>
            <w:rStyle w:val="Hyperlink"/>
          </w:rPr>
          <w:t xml:space="preserve">, 2022</w:t>
        </w:r>
      </w:hyperlink>
      <w:r>
        <w:t xml:space="preserve">)</w:t>
      </w:r>
      <w:r>
        <w:t xml:space="preserve">, and that data holders may decide to rely on a basis such as</w:t>
      </w:r>
      <w:r>
        <w:t xml:space="preserve"> </w:t>
      </w:r>
      <w:r>
        <w:t xml:space="preserve">‘</w:t>
      </w:r>
      <w:r>
        <w:t xml:space="preserve">legitimate interests</w:t>
      </w:r>
      <w:r>
        <w:t xml:space="preserve">’</w:t>
      </w:r>
      <w:r>
        <w:t xml:space="preserve"> </w:t>
      </w:r>
      <w:r>
        <w:t xml:space="preserve">or</w:t>
      </w:r>
      <w:r>
        <w:t xml:space="preserve"> </w:t>
      </w:r>
      <w:r>
        <w:t xml:space="preserve">‘</w:t>
      </w:r>
      <w:r>
        <w:t xml:space="preserve">fulfilling a contract</w:t>
      </w:r>
      <w:r>
        <w:t xml:space="preserve">’</w:t>
      </w:r>
      <w:r>
        <w:t xml:space="preserve"> </w:t>
      </w:r>
      <w:r>
        <w:t xml:space="preserve">which reduce the requirements upon the data holder. In particular, the former removes any ability for the individual to object to processing or to have data erased. There is a trend to move away from consent, as TikTok recently attempted to do, and as was rumoured by a local authority in the Early Help context [</w:t>
      </w:r>
      <w:hyperlink w:anchor="X06b01f722148eb1b6ddf37464ad8f18232e6422">
        <w:r>
          <w:rPr>
            <w:rStyle w:val="Hyperlink"/>
          </w:rPr>
          <w:t xml:space="preserve">8.4.2</w:t>
        </w:r>
      </w:hyperlink>
      <w:r>
        <w:t xml:space="preserve">]. It is important to recognise, therefore, that this is a possible vector through which data holders might act against HDR and reduce individual data rights over the personal data they hold in future. Just as with the proposed changes to UK data protection law mentioned above, this would represent a serious diminishing of individual agency, and the ability of activist and research groups to investigate their personal data [</w:t>
      </w:r>
      <w:hyperlink w:anchor="X163d5fe340eb813a3cb4eb18ecadabb5a25d0d2">
        <w:r>
          <w:rPr>
            <w:rStyle w:val="Hyperlink"/>
          </w:rPr>
          <w:t xml:space="preserve">9.3.1</w:t>
        </w:r>
      </w:hyperlink>
      <w:r>
        <w:t xml:space="preserve">] would be crippled by such a change.</w:t>
      </w:r>
    </w:p>
    <w:p>
      <w:pPr>
        <w:pStyle w:val="BodyText"/>
      </w:pPr>
      <w:r>
        <w:t xml:space="preserve">The reliance on personal data rights is also not a universal right that covers all cases in which data is held about individuals. Personal data is a tightly-defined term relating to data that does or can identify individuals [</w:t>
      </w:r>
      <w:hyperlink w:anchor="ari-data-terms">
        <w:r>
          <w:rPr>
            <w:rStyle w:val="Hyperlink"/>
          </w:rPr>
          <w:t xml:space="preserve">ARI2.1</w:t>
        </w:r>
      </w:hyperlink>
      <w:r>
        <w:t xml:space="preserve">]. Holders of anonymised, pseudonymised or aggregated data, or of data which from which individuals are not easily identified (for example crowd CCTV recordings, traffic flow data or Large Language Models (LLMs)) commonly argue that rights such as GDPR do not apply to their datasets. Such datasets fall into legal, technical and moral grey areas. People still feel a sense of ownership over such data, and perhaps rightly so. For example, Apple—lauded for its improved approaches to privacy—states in its own privacy policy that it may keep information extracted from Siri voice recordings but only once they have been de-identified and</w:t>
      </w:r>
      <w:r>
        <w:t xml:space="preserve"> </w:t>
      </w:r>
      <w:r>
        <w:t xml:space="preserve">‘</w:t>
      </w:r>
      <w:r>
        <w:t xml:space="preserve">attached to a random identifier</w:t>
      </w:r>
      <w:r>
        <w:t xml:space="preserve">’</w:t>
      </w:r>
      <w:r>
        <w:t xml:space="preserve">. This means that content of that voice command is held by Apple and may still be revealing or personal, but is now no longer accessible or erasable by the individual nor subject to any data protection law. Several researchers have shown that anonymous data can be</w:t>
      </w:r>
      <w:r>
        <w:t xml:space="preserve"> </w:t>
      </w:r>
      <w:r>
        <w:t xml:space="preserve">‘</w:t>
      </w:r>
      <w:r>
        <w:t xml:space="preserve">re-identified</w:t>
      </w:r>
      <w:r>
        <w:t xml:space="preserve">’</w:t>
      </w:r>
      <w:r>
        <w:t xml:space="preserve">, in one study by using as few as 15 points of data</w:t>
      </w:r>
      <w:r>
        <w:t xml:space="preserve"> </w:t>
      </w:r>
      <w:r>
        <w:t xml:space="preserve">(</w:t>
      </w:r>
      <w:hyperlink w:anchor="ref-bradbury2019">
        <w:r>
          <w:rPr>
            <w:rStyle w:val="Hyperlink"/>
          </w:rPr>
          <w:t xml:space="preserve">Bradbury, 2019</w:t>
        </w:r>
      </w:hyperlink>
      <w:r>
        <w:t xml:space="preserve">)</w:t>
      </w:r>
      <w:r>
        <w:t xml:space="preserve">. As such, we can see there is a gap in individual rights and protections over some types of data. Morally, individuals still deserve a relationship to that data and the information within it. Whether this moral claim can be actualised in law or technical capability remains to be seen. The findings of Case Study Two would suggest that such an approach, once understood by the individual service user, may harm their trust in their provider. Furthermore it could have the potential to generate feelings of having no choice [</w:t>
      </w:r>
      <w:hyperlink w:anchor="X8a50e98458a9c28886ed15ffb2cc666b2d3d49b">
        <w:r>
          <w:rPr>
            <w:rStyle w:val="Hyperlink"/>
          </w:rPr>
          <w:t xml:space="preserve">4.4.3</w:t>
        </w:r>
      </w:hyperlink>
      <w:r>
        <w:t xml:space="preserve">] or of powerlessness [</w:t>
      </w:r>
      <w:hyperlink w:anchor="X10ac37eff2b603f1775724ef374f54b7ba1ddc0">
        <w:r>
          <w:rPr>
            <w:rStyle w:val="Hyperlink"/>
          </w:rPr>
          <w:t xml:space="preserve">5.5.4</w:t>
        </w:r>
      </w:hyperlink>
      <w:r>
        <w:t xml:space="preserve">].</w:t>
      </w:r>
    </w:p>
    <w:p>
      <w:pPr>
        <w:pStyle w:val="BodyText"/>
      </w:pPr>
      <w:r>
        <w:t xml:space="preserve">The principle of unifying and uniting data and hence life information [</w:t>
      </w:r>
      <w:hyperlink w:anchor="principle-2">
        <w:r>
          <w:rPr>
            <w:rStyle w:val="Hyperlink"/>
          </w:rPr>
          <w:t xml:space="preserve">Principle 2</w:t>
        </w:r>
      </w:hyperlink>
      <w:r>
        <w:t xml:space="preserve">] would clearly be of significant value to individuals in their quest for better HDR, allowing patterns and behaviours across devices, platforms and services to be visualised and reflected upon. However, it may be in some cases unachievable due to technical, legal or corporate policy reasons. An example of this was experienced in the SILVER project’s attempts to build a health data interface for Early Help Support Workers [see</w:t>
      </w:r>
      <w:r>
        <w:t xml:space="preserve"> </w:t>
      </w:r>
      <w:hyperlink w:anchor="IV.3">
        <w:r>
          <w:rPr>
            <w:rStyle w:val="Hyperlink"/>
          </w:rPr>
          <w:t xml:space="preserve">Section IV Introduction</w:t>
        </w:r>
      </w:hyperlink>
      <w:r>
        <w:t xml:space="preserve">]. Prior to the building of the prototype, support workers reported they experienced the sense of a</w:t>
      </w:r>
      <w:r>
        <w:t xml:space="preserve"> </w:t>
      </w:r>
      <w:r>
        <w:t xml:space="preserve">‘</w:t>
      </w:r>
      <w:r>
        <w:t xml:space="preserve">wall</w:t>
      </w:r>
      <w:r>
        <w:t xml:space="preserve">’</w:t>
      </w:r>
      <w:r>
        <w:t xml:space="preserve"> </w:t>
      </w:r>
      <w:r>
        <w:t xml:space="preserve">between different public sector agencies, especially between healthcare providers and social care providers. Employees of healthcare providers felt they would be violating internal policies and potentially law if they made personal data available, even if it would be in the individual’s interest to do so. And similar barriers were encountered when trying to build technical channels for data-sharing. Even once access to the requisite APIs was acquired, local authority and local health authority legal departments debated and negotiated at great length over how to establish suitable data-sharing agreements. This made development particularly difficult, as we had to build user interfaces for data that we could not access, but could not access the data until the system was built.</w:t>
      </w:r>
      <w:r>
        <w:t xml:space="preserve"> </w:t>
      </w:r>
      <w:r>
        <w:t xml:space="preserve">Extrapolating this problem more generally, it is clear that (particularly in the public sector) various agencies consider (rightly so) that they have duties of care not to share individuals’ personal data with anyone under any circumstances, even if the access would be programmatic and then limited to staff who shared a duty of care to the individual or had a need to know. Clearly there is a question of service provider liability when it comes to certain categories of public data. We could also imagine similar challenges in allowing any kind of access to commercially held data, even via API, in areas of sensitive data such as therapy, welfare services, dating sites or legal or professional personal services. These challenges make it especially hard for third parties and developers to help individuals to unify and unite their own data, because they cannot (even programmatically) access personal data on the individuals’ behalf. Better data standards [</w:t>
      </w:r>
      <w:hyperlink w:anchor="Xd51421115f2289383bc454819e739e2893eac3f">
        <w:r>
          <w:rPr>
            <w:rStyle w:val="Hyperlink"/>
          </w:rPr>
          <w:t xml:space="preserve">8.5.4</w:t>
        </w:r>
      </w:hyperlink>
      <w:r>
        <w:t xml:space="preserve">] and proxy representations [</w:t>
      </w:r>
      <w:hyperlink w:anchor="principle-4">
        <w:r>
          <w:rPr>
            <w:rStyle w:val="Hyperlink"/>
          </w:rPr>
          <w:t xml:space="preserve">Principle 4</w:t>
        </w:r>
      </w:hyperlink>
      <w:r>
        <w:t xml:space="preserve">] may help technically, but we can expect much resistance from organisations with strict policies about access to user data (which, in the current litigious landscape, are quite common). Additionally, it is important to recognise that the uniting and unifying of personal data may present additional risks, for example where linking data enables identification that was not previously possible, or breaks expectations of privacy between individuals in a multi-party data set such as that for a family or household. Revealing the provenance of information may also break expectations of privacy in some contexts. Any systems and processes that unify and unite data or reveal its origin must therefore be design with the utmost attention to both individual and intrapersonal privacy, in line with</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thinking.</w:t>
      </w:r>
    </w:p>
    <w:p>
      <w:pPr>
        <w:pStyle w:val="BodyText"/>
      </w:pPr>
      <w:r>
        <w:t xml:space="preserve">The pursuit of better HDR is fundamentally a design problem. The designs it demands, however, may not always be implementable in practice. For example, some companies simply do not provide APIs to access the data that people want to access, nor are they compelled to do so. As experiences with Cornmarket’s PDS prototype showed, building user experiences that enabled people to obtain data via GDPR requests and download portals and then upload them into the PDS proved not only technically difficult and hard to design, but these user experiences were very complex and unsatisfactory to users, and worse still would need to be repeated whenever an up-to-date view of data was required. As Case Study Two suggests [</w:t>
      </w:r>
      <w:hyperlink w:anchor="X2d09f34970bc84346435f2ffe98303e41132089">
        <w:r>
          <w:rPr>
            <w:rStyle w:val="Hyperlink"/>
          </w:rPr>
          <w:t xml:space="preserve">5.6.1</w:t>
        </w:r>
      </w:hyperlink>
      <w:r>
        <w:t xml:space="preserve">], something that would help greatly here is a recognition by policymakers and data holders, that one-off, manual access to data is inadequate, and that really what people need (both programmatically as data and in human-readable form as information), is a live view or feed of their data. This could be integrated into Human-centric life interfaces and ecosystem viewers, which would become easier to design, build and use. This would represent a far less cumbersome user experience. Interestingly the desire for a feed of data changes also surfaced in Case Study One [</w:t>
      </w:r>
      <w:hyperlink w:anchor="X96d7e8adc7f12d5c73dc58b089cb28c15f7a28b">
        <w:r>
          <w:rPr>
            <w:rStyle w:val="Hyperlink"/>
          </w:rPr>
          <w:t xml:space="preserve">4.4.3</w:t>
        </w:r>
      </w:hyperlink>
      <w:r>
        <w:t xml:space="preserve">] as something that would be valuable to both parties, validating the need to view data as dynamic and changing rather than static. It is clear that to build workable solutions in these areas that meet user needs will require multiple specialisations: in data rights law, in user experience design, and in specific domains such as commercial data holding or social care, and it is hard to see how these changes could be co-ordinated by any one party. It will be especially difficult for activist researchers, especially when efforts to build alternative ways to access platform-held data feeds can carry costly personal penalties, as in Louis Barclay’s case [</w:t>
      </w:r>
      <w:hyperlink w:anchor="principle-12">
        <w:r>
          <w:rPr>
            <w:rStyle w:val="Hyperlink"/>
          </w:rPr>
          <w:t xml:space="preserve">Principle 12</w:t>
        </w:r>
      </w:hyperlink>
      <w:r>
        <w:t xml:space="preserve">;</w:t>
      </w:r>
      <w:r>
        <w:t xml:space="preserve"> </w:t>
      </w:r>
      <w:r>
        <w:t xml:space="preserve">Barclay (</w:t>
      </w:r>
      <w:hyperlink w:anchor="ref-barclay2021">
        <w:r>
          <w:rPr>
            <w:rStyle w:val="Hyperlink"/>
          </w:rPr>
          <w:t xml:space="preserve">2021</w:t>
        </w:r>
      </w:hyperlink>
      <w:r>
        <w:t xml:space="preserve">)</w:t>
      </w:r>
      <w:r>
        <w:t xml:space="preserve">].</w:t>
      </w:r>
    </w:p>
    <w:p>
      <w:pPr>
        <w:pStyle w:val="BodyText"/>
      </w:pPr>
      <w:r>
        <w:t xml:space="preserve">The technical and design challenge of building human information interfaces is a</w:t>
      </w:r>
      <w:r>
        <w:t xml:space="preserve"> </w:t>
      </w:r>
      <w:r>
        <w:t xml:space="preserve">‘</w:t>
      </w:r>
      <w:r>
        <w:t xml:space="preserve">grand challenge</w:t>
      </w:r>
      <w:r>
        <w:t xml:space="preserve">’</w:t>
      </w:r>
      <w:r>
        <w:t xml:space="preserve"> </w:t>
      </w:r>
      <w:r>
        <w:t xml:space="preserve">(</w:t>
      </w:r>
      <w:hyperlink w:anchor="ref-lufkin2017">
        <w:r>
          <w:rPr>
            <w:rStyle w:val="Hyperlink"/>
          </w:rPr>
          <w:t xml:space="preserve">Lufkin, 2017</w:t>
        </w:r>
      </w:hyperlink>
      <w:r>
        <w:t xml:space="preserve">)</w:t>
      </w:r>
      <w:r>
        <w:t xml:space="preserve"> </w:t>
      </w:r>
      <w:r>
        <w:t xml:space="preserve">level of problem. To build what is in essence an operating system that deals in life information and ecosystem information concepts rather than files and data records is, to put it mildly, non-trivial. That does not mean that is not necessary or worthwhile to engage in this endeavour though. Information modelling, such as that described in</w:t>
      </w:r>
      <w:r>
        <w:t xml:space="preserve"> </w:t>
      </w:r>
      <w:hyperlink w:anchor="X84473f470864e067ee3a22e64b47b0a1c356f29">
        <w:r>
          <w:rPr>
            <w:rStyle w:val="Hyperlink"/>
          </w:rPr>
          <w:t xml:space="preserve">9.4</w:t>
        </w:r>
      </w:hyperlink>
      <w:r>
        <w:t xml:space="preserve">, could help, as could semantic information standards [</w:t>
      </w:r>
      <w:hyperlink w:anchor="Xd51421115f2289383bc454819e739e2893eac3f">
        <w:r>
          <w:rPr>
            <w:rStyle w:val="Hyperlink"/>
          </w:rPr>
          <w:t xml:space="preserve">8.5.4</w:t>
        </w:r>
      </w:hyperlink>
      <w:r>
        <w:t xml:space="preserve">] and automatic entity identification [</w:t>
      </w:r>
      <w:hyperlink w:anchor="Xfda2a4b2a29ba27b9e09a1d8ca3deca382262af">
        <w:r>
          <w:rPr>
            <w:rStyle w:val="Hyperlink"/>
          </w:rPr>
          <w:t xml:space="preserve">9.4.3</w:t>
        </w:r>
      </w:hyperlink>
      <w:r>
        <w:t xml:space="preserve">]. Since a key part of such interfaces relate to both human and machine having a greater understanding of information with data, past guidelines on legibility [</w:t>
      </w:r>
      <w:hyperlink w:anchor="X83b2e9f55420fa41efd48e4a45103566c9e4767">
        <w:r>
          <w:rPr>
            <w:rStyle w:val="Hyperlink"/>
          </w:rPr>
          <w:t xml:space="preserve">2.3.2</w:t>
        </w:r>
      </w:hyperlink>
      <w:r>
        <w:t xml:space="preserve">] and effective access [</w:t>
      </w:r>
      <w:hyperlink w:anchor="Xbff12eeb621c3f4c18ae1d2809b3860778910f4">
        <w:r>
          <w:rPr>
            <w:rStyle w:val="Hyperlink"/>
          </w:rPr>
          <w:t xml:space="preserve">2.1.4</w:t>
        </w:r>
      </w:hyperlink>
      <w:r>
        <w:t xml:space="preserve">], as well as all the lessons from the PIM space [</w:t>
      </w:r>
      <w:hyperlink w:anchor="X3847c48faeb5e255ebcdd1a4762a53f7163d7f0">
        <w:r>
          <w:rPr>
            <w:rStyle w:val="Hyperlink"/>
          </w:rPr>
          <w:t xml:space="preserve">2.2.2</w:t>
        </w:r>
      </w:hyperlink>
      <w:r>
        <w:t xml:space="preserve">] about how people need to interact with personal information, are also important. It may also be possible to take lessons from the explainable AI space, where a report has identified four principles:</w:t>
      </w:r>
      <w:r>
        <w:t xml:space="preserve"> </w:t>
      </w:r>
      <w:r>
        <w:rPr>
          <w:iCs/>
          <w:i/>
        </w:rPr>
        <w:t xml:space="preserve">Explanation</w:t>
      </w:r>
      <w:r>
        <w:t xml:space="preserve">,</w:t>
      </w:r>
      <w:r>
        <w:t xml:space="preserve"> </w:t>
      </w:r>
      <w:r>
        <w:rPr>
          <w:iCs/>
          <w:i/>
        </w:rPr>
        <w:t xml:space="preserve">Meaningful</w:t>
      </w:r>
      <w:r>
        <w:t xml:space="preserve">,</w:t>
      </w:r>
      <w:r>
        <w:t xml:space="preserve"> </w:t>
      </w:r>
      <w:r>
        <w:rPr>
          <w:iCs/>
          <w:i/>
        </w:rPr>
        <w:t xml:space="preserve">Explanation Accuracy</w:t>
      </w:r>
      <w:r>
        <w:t xml:space="preserve"> </w:t>
      </w:r>
      <w:r>
        <w:t xml:space="preserve">and</w:t>
      </w:r>
      <w:r>
        <w:t xml:space="preserve"> </w:t>
      </w:r>
      <w:r>
        <w:rPr>
          <w:iCs/>
          <w:i/>
        </w:rPr>
        <w:t xml:space="preserve">Knowledge Limits</w:t>
      </w:r>
      <w:r>
        <w:t xml:space="preserve"> </w:t>
      </w:r>
      <w:r>
        <w:t xml:space="preserve">(</w:t>
      </w:r>
      <w:hyperlink w:anchor="ref-phillips2020">
        <w:r>
          <w:rPr>
            <w:rStyle w:val="Hyperlink"/>
          </w:rPr>
          <w:t xml:space="preserve">Phillips</w:t>
        </w:r>
        <w:r>
          <w:rPr>
            <w:rStyle w:val="Hyperlink"/>
          </w:rPr>
          <w:t xml:space="preserve"> </w:t>
        </w:r>
        <w:r>
          <w:rPr>
            <w:rStyle w:val="Hyperlink"/>
            <w:iCs/>
            <w:i/>
          </w:rPr>
          <w:t xml:space="preserve">et al.</w:t>
        </w:r>
        <w:r>
          <w:rPr>
            <w:rStyle w:val="Hyperlink"/>
          </w:rPr>
          <w:t xml:space="preserve">, 2020</w:t>
        </w:r>
      </w:hyperlink>
      <w:r>
        <w:t xml:space="preserve">)</w:t>
      </w:r>
      <w:r>
        <w:t xml:space="preserve">. However, the understanding of such explanations should equate to the acquisition of technical expertise. As with explainable AI, being able to explain a highly complex technological construct is not useful to an individual if it requires them to gain expertise and interest in the technology itself, because this creates issues around technical skills and whether or not the individual is inclined to take an interest in technology. As Mark Weiser envisioned</w:t>
      </w:r>
      <w:r>
        <w:t xml:space="preserve"> </w:t>
      </w:r>
      <w:r>
        <w:t xml:space="preserve">(</w:t>
      </w:r>
      <w:hyperlink w:anchor="ref-weiser1996">
        <w:r>
          <w:rPr>
            <w:rStyle w:val="Hyperlink"/>
          </w:rPr>
          <w:t xml:space="preserve">Weiser and Brown, 1996</w:t>
        </w:r>
      </w:hyperlink>
      <w:r>
        <w:t xml:space="preserve">)</w:t>
      </w:r>
      <w:r>
        <w:t xml:space="preserve">, technology should ideally recede into the background of our lives. Thus, explainability and understandability should also be very much be anchored in the human side of human data relations, rather than in the technology and the data. The focus should be on bringing the technology into the human mental landscape, not bringing the human into the world of the computer (and even when learning about ecosystems, which might seem to go against this, explanations can be presented primarily in terms of companies that the individual has relations with, and third party entities, rather than servers and databases etc.).</w:t>
      </w:r>
    </w:p>
    <w:p>
      <w:pPr>
        <w:pStyle w:val="BodyText"/>
      </w:pPr>
      <w:r>
        <w:t xml:space="preserve">Perhaps the most challenging practicality of shifting towards a human-centric paradigm for data and information relations, relates to the amount of effort that is currently required for people to take charge of their digital life. Even a motivated individual such as the author of this thesis this finds it very difficult to achieve a meaningful awareness and control over their digital life. A further problem is seen that in many cases, the motivation is not there, both in terms of apathy or powerlessness as mentioned above [</w:t>
      </w:r>
      <w:hyperlink w:anchor="Xe3c54ec1686b257c15fe3bd98af9e08d983b8ab">
        <w:r>
          <w:rPr>
            <w:rStyle w:val="Hyperlink"/>
          </w:rPr>
          <w:t xml:space="preserve">4.4.4</w:t>
        </w:r>
      </w:hyperlink>
      <w:r>
        <w:t xml:space="preserve">;</w:t>
      </w:r>
      <w:r>
        <w:t xml:space="preserve"> </w:t>
      </w:r>
      <w:hyperlink r:id="rId64">
        <w:r>
          <w:rPr>
            <w:rStyle w:val="Hyperlink"/>
          </w:rPr>
          <w:t xml:space="preserve">5.5.4</w:t>
        </w:r>
      </w:hyperlink>
      <w:r>
        <w:t xml:space="preserve">], but also in that seeking better Human Data Relations is currently hard work that few are inclined to do. It is easier to use the system as a consumer than to participate in one’s digital life as a citizen</w:t>
      </w:r>
      <w:r>
        <w:t xml:space="preserve"> </w:t>
      </w:r>
      <w:r>
        <w:t xml:space="preserve">(</w:t>
      </w:r>
      <w:hyperlink w:anchor="ref-alexander2022">
        <w:r>
          <w:rPr>
            <w:rStyle w:val="Hyperlink"/>
          </w:rPr>
          <w:t xml:space="preserve">Alexander, Conrad and Eno, 2022</w:t>
        </w:r>
      </w:hyperlink>
      <w:r>
        <w:t xml:space="preserve">)</w:t>
      </w:r>
      <w:r>
        <w:t xml:space="preserve">. There is work to be done in winning hearts and minds [</w:t>
      </w:r>
      <w:hyperlink w:anchor="X5b7e6d36dc0113f61b36c700817d42b96f7b037">
        <w:r>
          <w:rPr>
            <w:rStyle w:val="Hyperlink"/>
          </w:rPr>
          <w:t xml:space="preserve">9.6</w:t>
        </w:r>
      </w:hyperlink>
      <w:r>
        <w:t xml:space="preserve">]. However, the objective of the Human Data Relations agenda is not to place an undue burden on the citizen. The identified need for improved data literacy [</w:t>
      </w:r>
      <w:hyperlink w:anchor="X43e9993d763761df3960c67ee4532381f46fe67">
        <w:r>
          <w:rPr>
            <w:rStyle w:val="Hyperlink"/>
          </w:rPr>
          <w:t xml:space="preserve">9.6.1</w:t>
        </w:r>
      </w:hyperlink>
      <w:r>
        <w:t xml:space="preserve">] applies particularly to those with the power to influence policies, technologies, civic or commercial structures, processes or public opinions, so it is important that they be persuaded act upon this new understanding in their professional capabilities not just through their role as users of digital technology. Another way of thinking about the the issues of digital power over data is to compare this to another complex issue: personal finance. It is in every individual’s interest to acquire utility and control over their personal finances, but this does not require every individual to take an interest in tax law or become an expert in accounting ledgers. Society has responded to this need by the production of specialist service providers–accountants and financial advisors–who can help individuals who do not wish to engage with the detail to manage these aspects of their lives. Self-service budgeting and tax software is now available as well for those with lower budgets. This is the model that a world of better Human Data Relations could also adopt. Already data access and understanding services are emerging [</w:t>
      </w:r>
      <w:hyperlink w:anchor="X85b622884a5e4310e99be06cf6a05fbba0f5047">
        <w:r>
          <w:rPr>
            <w:rStyle w:val="Hyperlink"/>
          </w:rPr>
          <w:t xml:space="preserve">9.3.4</w:t>
        </w:r>
      </w:hyperlink>
      <w:r>
        <w:t xml:space="preserve">], and this sector will inevitably grow as demand and investment increases. As with financial responsibility, or environmental impact, or personal safety, there is a certain amount that individuals can do for themselves, but the greater impact and moral responsibility to really bring about change lies with lawmakers, regulators and the organisations that create the infrastructure of society, be they in the private sector or public sector. The approaches presented in</w:t>
      </w:r>
      <w:r>
        <w:t xml:space="preserve"> </w:t>
      </w:r>
      <w:hyperlink w:anchor="chapter-9">
        <w:r>
          <w:rPr>
            <w:rStyle w:val="Hyperlink"/>
          </w:rPr>
          <w:t xml:space="preserve">Chapter 9</w:t>
        </w:r>
      </w:hyperlink>
      <w:r>
        <w:t xml:space="preserve"> </w:t>
      </w:r>
      <w:r>
        <w:t xml:space="preserve">are only first steps the beginning of possible trajectories to improving society towards a more human-centric and individually-empowered one. Of all the quadrants for change [</w:t>
      </w:r>
      <w:hyperlink w:anchor="figure-9.1">
        <w:r>
          <w:rPr>
            <w:rStyle w:val="Hyperlink"/>
          </w:rPr>
          <w:t xml:space="preserve">Figure 9.1</w:t>
        </w:r>
      </w:hyperlink>
      <w:r>
        <w:t xml:space="preserve">] it is the external ones that are most critical. The structures of society must change (bottom-right quadrant), and only when this occurs can people be offered a meaningful choice. Only when people are able, and inclined, to take that choice, between the data-centric status quo and the human-centric future, can our human data relations–the way we live our lives in a data-centric world–actually change in a meaningful way (top-right quadrant).</w:t>
      </w:r>
    </w:p>
    <w:bookmarkEnd w:id="65"/>
    <w:bookmarkStart w:id="66" w:name="X21d30fc29c7c38310b1b9c23590a18fd030f6f2"/>
    <w:p>
      <w:pPr>
        <w:pStyle w:val="Heading2"/>
      </w:pPr>
      <w:r>
        <w:rPr>
          <w:rStyle w:val="SectionNumber"/>
        </w:rPr>
        <w:t xml:space="preserve">1.3</w:t>
      </w:r>
      <w:r>
        <w:tab/>
      </w:r>
      <w:r>
        <w:t xml:space="preserve">Limitations and Future Work</w:t>
      </w:r>
    </w:p>
    <w:p>
      <w:pPr>
        <w:pStyle w:val="FirstParagraph"/>
      </w:pPr>
      <w:r>
        <w:t xml:space="preserve">This section will examine the limitations and future potential not of the HDR agenda, but of this thesis and this body of research itself.</w:t>
      </w:r>
    </w:p>
    <w:p>
      <w:pPr>
        <w:pStyle w:val="BodyText"/>
      </w:pPr>
      <w:r>
        <w:t xml:space="preserve">Methodologically, this research achieved significant success in helping participants engage with the world of data. The use of data cards</w:t>
      </w:r>
      <w:r>
        <w:t xml:space="preserve"> </w:t>
      </w:r>
      <w:hyperlink w:anchor="figure-3.7">
        <w:r>
          <w:rPr>
            <w:rStyle w:val="Hyperlink"/>
          </w:rPr>
          <w:t xml:space="preserve">Figure 3.7</w:t>
        </w:r>
      </w:hyperlink>
      <w:r>
        <w:t xml:space="preserve">]] throughout the Early Help context was particularly successful, because it converted dry data concepts into relatable life information concepts, but also because it gave participants boundary objects and things-to-think-with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Brandt and Messeter (</w:t>
      </w:r>
      <w:hyperlink w:anchor="ref-brandt2004">
        <w:r>
          <w:rPr>
            <w:rStyle w:val="Hyperlink"/>
          </w:rPr>
          <w:t xml:space="preserve">2004</w:t>
        </w:r>
      </w:hyperlink>
      <w:r>
        <w:t xml:space="preserve">)</w:t>
      </w:r>
      <w:r>
        <w:t xml:space="preserve">;</w:t>
      </w:r>
      <w:r>
        <w:t xml:space="preserve"> </w:t>
      </w:r>
      <w:hyperlink w:anchor="Xbc954f986ea78ee55f14e1ee288f60983e46fb5">
        <w:r>
          <w:rPr>
            <w:rStyle w:val="Hyperlink"/>
          </w:rPr>
          <w:t xml:space="preserve">3.4.2</w:t>
        </w:r>
      </w:hyperlink>
      <w:r>
        <w:t xml:space="preserve">;</w:t>
      </w:r>
      <w:r>
        <w:t xml:space="preserve"> </w:t>
      </w:r>
      <w:hyperlink w:anchor="X9a192666c004f35303d55baa6cc828eb977144f">
        <w:r>
          <w:rPr>
            <w:rStyle w:val="Hyperlink"/>
          </w:rPr>
          <w:t xml:space="preserve">4.5.2</w:t>
        </w:r>
      </w:hyperlink>
      <w:r>
        <w:t xml:space="preserve">]. The use of storyboarding cards [</w:t>
      </w:r>
      <w:hyperlink w:anchor="figure-3.11">
        <w:r>
          <w:rPr>
            <w:rStyle w:val="Hyperlink"/>
          </w:rPr>
          <w:t xml:space="preserve">Figure 3.11</w:t>
        </w:r>
      </w:hyperlink>
      <w:r>
        <w:t xml:space="preserve">;</w:t>
      </w:r>
      <w:r>
        <w:t xml:space="preserve"> </w:t>
      </w:r>
      <w:hyperlink w:anchor="ari-storyboarding">
        <w:r>
          <w:rPr>
            <w:rStyle w:val="Hyperlink"/>
          </w:rPr>
          <w:t xml:space="preserve">ARI4.3</w:t>
        </w:r>
      </w:hyperlink>
      <w:r>
        <w:t xml:space="preserve">] to explore two-party interactions in place of more traditional UI-sketching approaches was also novel and effective. Such card-based methods for engaging people with data could be developed and explored further, and indeed there is clearly still potential to do. This was not done within this PhD in part because the COVID-19 pandemic directed the research trajectory away from in-person work, and additionally the availability of the GDPR enabled more data-focused approaches. In fact even though it did not use tangible data cards, the structured conversations around aspects of one’s own life data used in</w:t>
      </w:r>
      <w:r>
        <w:t xml:space="preserve"> </w:t>
      </w:r>
      <w:hyperlink w:anchor="chapter-5">
        <w:r>
          <w:rPr>
            <w:rStyle w:val="Hyperlink"/>
          </w:rPr>
          <w:t xml:space="preserve">Case Study Two</w:t>
        </w:r>
      </w:hyperlink>
      <w:r>
        <w:t xml:space="preserve"> </w:t>
      </w:r>
      <w:r>
        <w:t xml:space="preserve">and subsequently in the digipower project [See</w:t>
      </w:r>
      <w:r>
        <w:t xml:space="preserve"> </w:t>
      </w:r>
      <w:hyperlink w:anchor="section-iv-intro">
        <w:r>
          <w:rPr>
            <w:rStyle w:val="Hyperlink"/>
          </w:rPr>
          <w:t xml:space="preserve">Section IV Introduction</w:t>
        </w:r>
      </w:hyperlink>
      <w:r>
        <w:t xml:space="preserve">] proved effective and would also be worthy of further exploration as a methodology [</w:t>
      </w:r>
      <w:hyperlink w:anchor="Xda43ddc66ea2368258688e802388e932e83f73e">
        <w:r>
          <w:rPr>
            <w:rStyle w:val="Hyperlink"/>
          </w:rPr>
          <w:t xml:space="preserve">1.2.2</w:t>
        </w:r>
      </w:hyperlink>
      <w:r>
        <w:t xml:space="preserve">]. Any and all of these methods could be developed further to produce useful toolkits for educating people about data policy and law, for example in helping them understand proposed changes to UK data processing in health care with the confusingly-named GPDPR</w:t>
      </w:r>
      <w:r>
        <w:t xml:space="preserve"> </w:t>
      </w:r>
      <w:r>
        <w:t xml:space="preserve">(</w:t>
      </w:r>
      <w:hyperlink w:anchor="ref-shemtob2021">
        <w:r>
          <w:rPr>
            <w:rStyle w:val="Hyperlink"/>
          </w:rPr>
          <w:t xml:space="preserve">Shemtob, 2021</w:t>
        </w:r>
      </w:hyperlink>
      <w:r>
        <w:t xml:space="preserve">)</w:t>
      </w:r>
      <w:r>
        <w:t xml:space="preserve">. Another methodological limitation can be observed with regard to the use of GDPR rights in the research; The methods employed in Case Study Two purposefully did not explore was to measure how well participants could carry out their GDPR rights without aid. The process was a guided one, and some participants freely admitted that without aid they might not have been able to commence or conclude the GDPR processes. The design of this study took a value judgement that there was greater benefit in educating individuals about GDPR practicalities, and in assessing companies against a level playing field, than in measuring GDPR education levels in the public. Such a study would be worthwhile and could highlight areas for companies and regulatory bodies to improve their public engagement around the use of data access rights. Desite it being a guided journey, great care was taken not to influence or bias participants’ judgements around GDPR, which is why education and questioning focused on participant evaluation of the GDPR experience against privacy policy claims and GDPR rights, rather than against the ideals of the emerging research agenda.</w:t>
      </w:r>
    </w:p>
    <w:p>
      <w:pPr>
        <w:pStyle w:val="BodyText"/>
      </w:pPr>
      <w:r>
        <w:t xml:space="preserve">As described in</w:t>
      </w:r>
      <w:r>
        <w:t xml:space="preserve"> </w:t>
      </w:r>
      <w:hyperlink w:anchor="X03a4300e5939d1d7fbfb90958aac5b413468ba3">
        <w:r>
          <w:rPr>
            <w:rStyle w:val="Hyperlink"/>
          </w:rPr>
          <w:t xml:space="preserve">3.2.2</w:t>
        </w:r>
      </w:hyperlink>
      <w:r>
        <w:t xml:space="preserve">, this PhD used an unstructured process of feedback between Case Studies, individual experimentation, modelling and synthesis work, and the project placements. This means that (as mentioned in</w:t>
      </w:r>
      <w:r>
        <w:t xml:space="preserve"> </w:t>
      </w:r>
      <w:hyperlink w:anchor="fn3">
        <w:r>
          <w:rPr>
            <w:rStyle w:val="Hyperlink"/>
          </w:rPr>
          <w:t xml:space="preserve">footnote 3</w:t>
        </w:r>
      </w:hyperlink>
      <w:r>
        <w:t xml:space="preserve">) the study designs and overall research approach largely did not report findings back to participants to acquire additional feedback, unlike more formal Participatory Action Research approaches</w:t>
      </w:r>
      <w:r>
        <w:t xml:space="preserve"> </w:t>
      </w:r>
      <w:r>
        <w:t xml:space="preserve">(</w:t>
      </w:r>
      <w:hyperlink w:anchor="ref-lewin1951">
        <w:r>
          <w:rPr>
            <w:rStyle w:val="Hyperlink"/>
          </w:rPr>
          <w:t xml:space="preserve">Lewin, 1951</w:t>
        </w:r>
      </w:hyperlink>
      <w:r>
        <w:t xml:space="preserve">;</w:t>
      </w:r>
      <w:r>
        <w:t xml:space="preserve"> </w:t>
      </w:r>
      <w:hyperlink w:anchor="ref-chevalier2008">
        <w:r>
          <w:rPr>
            <w:rStyle w:val="Hyperlink"/>
          </w:rPr>
          <w:t xml:space="preserve">Chevalier and Buckles, 2008</w:t>
        </w:r>
      </w:hyperlink>
      <w:r>
        <w:t xml:space="preserve">)</w:t>
      </w:r>
      <w:r>
        <w:t xml:space="preserve">. Given further time and resource, additional work could have been carried out to include participant reflections upon findings or design critiques of HDR proposals into this body of research. However, this does not mean that findings of the studies were not validated. In general, evolving findings and learnings were validated with participants in different groups or settings. As</w:t>
      </w:r>
      <w:r>
        <w:t xml:space="preserve"> </w:t>
      </w:r>
      <w:hyperlink w:anchor="chapter-6">
        <w:r>
          <w:rPr>
            <w:rStyle w:val="Hyperlink"/>
          </w:rPr>
          <w:t xml:space="preserve">Chapter 6</w:t>
        </w:r>
      </w:hyperlink>
      <w:r>
        <w:t xml:space="preserve"> </w:t>
      </w:r>
      <w:r>
        <w:t xml:space="preserve">shows, there were strong correlations between the Case Studies; each helps to validate the findings of the other. Within Case Study One, the Sentence Rankings exercise [</w:t>
      </w:r>
      <w:hyperlink w:anchor="Xdeeef76ef3c6bd7a322612266668f43721e50f7">
        <w:r>
          <w:rPr>
            <w:rStyle w:val="Hyperlink"/>
          </w:rPr>
          <w:t xml:space="preserve">4.3.5</w:t>
        </w:r>
      </w:hyperlink>
      <w:r>
        <w:t xml:space="preserve">] served to validate findings from earlier research by the author and by the SILVER project with participants. In the case of Case Study Two, the digipower project [</w:t>
      </w:r>
      <w:hyperlink w:anchor="section-iv-intro">
        <w:r>
          <w:rPr>
            <w:rStyle w:val="Hyperlink"/>
          </w:rPr>
          <w:t xml:space="preserve">see Section IV introduction</w:t>
        </w:r>
      </w:hyperlink>
      <w:r>
        <w:t xml:space="preserve">] (which used a very similar methodology) helped to validate participant experiences from the study. The HDR agenda evolved through regular exposure to real-world settings in the BBC R&amp;D and Hestia.ai placements, which added a further feedback and validation cycle of the discursive contributions of the thesis. Every element of this research has involved engagement with members of the public to inform the evolving designs, in line with UCD [</w:t>
      </w:r>
      <w:hyperlink w:anchor="X98d4ef3e7a6039ddbf0f888a2fd1c5243f7318b">
        <w:r>
          <w:rPr>
            <w:rStyle w:val="Hyperlink"/>
          </w:rPr>
          <w:t xml:space="preserve">3.2.1</w:t>
        </w:r>
      </w:hyperlink>
      <w:r>
        <w:t xml:space="preserve">] and design justice</w:t>
      </w:r>
      <w:r>
        <w:t xml:space="preserve"> </w:t>
      </w:r>
      <w:r>
        <w:t xml:space="preserve">(</w:t>
      </w:r>
      <w:hyperlink w:anchor="ref-costanzaChock2020">
        <w:r>
          <w:rPr>
            <w:rStyle w:val="Hyperlink"/>
          </w:rPr>
          <w:t xml:space="preserve">Costanza-Chock, 2020</w:t>
        </w:r>
      </w:hyperlink>
      <w:r>
        <w:t xml:space="preserve">)</w:t>
      </w:r>
      <w:r>
        <w:t xml:space="preserve"> </w:t>
      </w:r>
      <w:r>
        <w:t xml:space="preserve">philosophies. Another opportunity would be to conduct further workshop-type activities involving parties representing individual, collective and establishment points of view. One way to do this would be to take the findings from the industrial track of the thesis back to the stakeholder groups from the participatory track. More generally, such multi-party investigatory research continues to take place in organisations such as BBC R&amp;D, Sitra, Hestia.ai and The Citizens as well as many HDI-focused academic research labs. Where there is a significant opportunity for further work would be in engaging HDR-adjacent activist and grassroots groups and movements such as those listed in</w:t>
      </w:r>
      <w:r>
        <w:t xml:space="preserve"> </w:t>
      </w:r>
      <w:hyperlink w:anchor="X3311fd67470fbcf4656c785622e9a191bccfd04">
        <w:r>
          <w:rPr>
            <w:rStyle w:val="Hyperlink"/>
          </w:rPr>
          <w:t xml:space="preserve">7.6</w:t>
        </w:r>
      </w:hyperlink>
      <w:r>
        <w:t xml:space="preserve">. It is important to acknowledge that this researcher has consciously engaged in activist movements around HDR reform through his engagements with Hestia.ai, The Citizens, and the Open Rights Group [</w:t>
      </w:r>
      <w:hyperlink w:anchor="X954f92b164d31ac62328698a1fa3f9b20d5ccc2">
        <w:r>
          <w:rPr>
            <w:rStyle w:val="Hyperlink"/>
          </w:rPr>
          <w:t xml:space="preserve">9.3.2</w:t>
        </w:r>
      </w:hyperlink>
      <w:r>
        <w:t xml:space="preserve">], not just to serve the research agenda of this thesis but also due to personal interest in better digital rights, which could faciliate accusations of bias. As a counter to this, we can note that such engagements have been balanced against the author’s lifetime of experience</w:t>
      </w:r>
      <w:r>
        <w:t xml:space="preserve"> </w:t>
      </w:r>
      <w:r>
        <w:t xml:space="preserve">‘</w:t>
      </w:r>
      <w:r>
        <w:t xml:space="preserve">within the system</w:t>
      </w:r>
      <w:r>
        <w:t xml:space="preserve">’</w:t>
      </w:r>
      <w:r>
        <w:t xml:space="preserve">, working for commercial technology providers of various sizes including IBM, Open Text, InterRail and Logica. Furthermore within the timescale of the PhD, there were also multiple engagement with activities</w:t>
      </w:r>
      <w:r>
        <w:t xml:space="preserve"> </w:t>
      </w:r>
      <w:r>
        <w:t xml:space="preserve">‘</w:t>
      </w:r>
      <w:r>
        <w:t xml:space="preserve">within the system</w:t>
      </w:r>
      <w:r>
        <w:t xml:space="preserve">’</w:t>
      </w:r>
      <w:r>
        <w:t xml:space="preserve"> </w:t>
      </w:r>
      <w:r>
        <w:t xml:space="preserve">in such as through SILVER/Connected Health Cities and at the BBC. In the SILVER context, the collision of traditional data-centric approaches of the establishment and the researcher’s human-centric agenda sparked significant debate and reflection among the research team. Established service-provider-centric values were inadvertently embedded into the project’s solutionistic framing resulted in the production of a health interface [see</w:t>
      </w:r>
      <w:r>
        <w:t xml:space="preserve"> </w:t>
      </w:r>
      <w:hyperlink w:anchor="section-iv-intro">
        <w:r>
          <w:rPr>
            <w:rStyle w:val="Hyperlink"/>
          </w:rPr>
          <w:t xml:space="preserve">Section IV introduction</w:t>
        </w:r>
      </w:hyperlink>
      <w:r>
        <w:t xml:space="preserve">] that favoured staff perspectives over supported family desires uncovered in the project’s own research. This shows that even within this PhD, there has been extensive reflection and challenge to the ideas from different perspectives. Based on these reflections, every effort has been made to ensure that the approaches in</w:t>
      </w:r>
      <w:r>
        <w:t xml:space="preserve"> </w:t>
      </w:r>
      <w:hyperlink w:anchor="chapter-9">
        <w:r>
          <w:rPr>
            <w:rStyle w:val="Hyperlink"/>
          </w:rPr>
          <w:t xml:space="preserve">Chapter 9</w:t>
        </w:r>
      </w:hyperlink>
      <w:r>
        <w:t xml:space="preserve"> </w:t>
      </w:r>
      <w:r>
        <w:t xml:space="preserve">and the</w:t>
      </w:r>
      <w:r>
        <w:t xml:space="preserve"> </w:t>
      </w:r>
      <w:hyperlink w:anchor="Xd679968a7da96b70d4b4612e43ae2e670bb068a">
        <w:r>
          <w:rPr>
            <w:rStyle w:val="Hyperlink"/>
          </w:rPr>
          <w:t xml:space="preserve">Principles</w:t>
        </w:r>
      </w:hyperlink>
      <w:r>
        <w:t xml:space="preserve"> </w:t>
      </w:r>
      <w:r>
        <w:t xml:space="preserve">can collectively support use within or outside the establishment.</w:t>
      </w:r>
    </w:p>
    <w:p>
      <w:pPr>
        <w:pStyle w:val="BodyText"/>
      </w:pPr>
      <w:r>
        <w:t xml:space="preserve">As laid out in</w:t>
      </w:r>
      <w:r>
        <w:t xml:space="preserve"> </w:t>
      </w:r>
      <w:hyperlink w:anchor="X16a3b37862d25c71eb7293f7b653e91636f92a7">
        <w:r>
          <w:rPr>
            <w:rStyle w:val="Hyperlink"/>
          </w:rPr>
          <w:t xml:space="preserve">3.1</w:t>
        </w:r>
      </w:hyperlink>
      <w:r>
        <w:t xml:space="preserve"> </w:t>
      </w:r>
      <w:r>
        <w:t xml:space="preserve">the research approach of this thesis is unashamedly aligned to an individualist philosophy of personal betterment. As such, it is important to recognise its gaps around exploration of collective sensemaking of data and the identification of data-related objectives that further group or community interests over individual ones. For example, Maskell’s Spokespeople project explored how communities might share geolocated data from their cycling journeys to pressure local authorities to improve cycle lane provisions</w:t>
      </w:r>
      <w:r>
        <w:t xml:space="preserve"> </w:t>
      </w:r>
      <w:r>
        <w:t xml:space="preserve">(</w:t>
      </w:r>
      <w:hyperlink w:anchor="ref-maskell2018">
        <w:r>
          <w:rPr>
            <w:rStyle w:val="Hyperlink"/>
          </w:rPr>
          <w:t xml:space="preserve">Maskell</w:t>
        </w:r>
        <w:r>
          <w:rPr>
            <w:rStyle w:val="Hyperlink"/>
          </w:rPr>
          <w:t xml:space="preserve"> </w:t>
        </w:r>
        <w:r>
          <w:rPr>
            <w:rStyle w:val="Hyperlink"/>
            <w:iCs/>
            <w:i/>
          </w:rPr>
          <w:t xml:space="preserve">et al.</w:t>
        </w:r>
        <w:r>
          <w:rPr>
            <w:rStyle w:val="Hyperlink"/>
          </w:rPr>
          <w:t xml:space="preserve">, 2018</w:t>
        </w:r>
      </w:hyperlink>
      <w:r>
        <w:t xml:space="preserve">)</w:t>
      </w:r>
      <w:r>
        <w:t xml:space="preserve">, and Elsden’s Metadating project looked at how couples might understand and reflect upon their romantic lives through personal data</w:t>
      </w:r>
      <w:r>
        <w:t xml:space="preserve"> </w:t>
      </w:r>
      <w:r>
        <w:t xml:space="preserve">(</w:t>
      </w:r>
      <w:hyperlink w:anchor="ref-elsden2016">
        <w:r>
          <w:rPr>
            <w:rStyle w:val="Hyperlink"/>
          </w:rPr>
          <w:t xml:space="preserve">Elsden</w:t>
        </w:r>
        <w:r>
          <w:rPr>
            <w:rStyle w:val="Hyperlink"/>
          </w:rPr>
          <w:t xml:space="preserve"> </w:t>
        </w:r>
        <w:r>
          <w:rPr>
            <w:rStyle w:val="Hyperlink"/>
            <w:iCs/>
            <w:i/>
          </w:rPr>
          <w:t xml:space="preserve">et al.</w:t>
        </w:r>
        <w:r>
          <w:rPr>
            <w:rStyle w:val="Hyperlink"/>
          </w:rPr>
          <w:t xml:space="preserve">, 2016</w:t>
        </w:r>
      </w:hyperlink>
      <w:r>
        <w:t xml:space="preserve">)</w:t>
      </w:r>
      <w:r>
        <w:t xml:space="preserve">. The issues of complex interplays of different individuals’ personal data within families and households was present in participants’ experiences in both Case Studies, but was not actively explored within this thesis. Indeed it could be argued that some of the HDR principles might create tension when viewed from a group perspective, for example the knowledge of provenance of data [</w:t>
      </w:r>
      <w:hyperlink w:anchor="principle-5">
        <w:r>
          <w:rPr>
            <w:rStyle w:val="Hyperlink"/>
          </w:rPr>
          <w:t xml:space="preserve">Principle 5</w:t>
        </w:r>
      </w:hyperlink>
      <w:r>
        <w:t xml:space="preserve">] could have implications for lost anonymity within households or communities. Activist groups such as Hestia.ai and noyb.eu have explored and continue to explore how collectives can work together to pursue their interests and rights through data, but this is limited by the individualist framing of the GDPR and its equivalents. As an example, there is no means for a community or group to request its collective data from a provider, and every individual must make their own request. While GDPR does provide mechanisms for third parties such as data understanding services or lawyers to make data requests on multiple individuals behalves, experiences at Hestia.ai showed this is rarely well-supported by data holders. Indeed in this regard the focus on GDPR as a data access methodology may be limiting, as it risks brushing over the fact that there is a gap in law around the protection of group data that needs to be confronted. Collective data management is not well accommodated for in system designs or policy designs today</w:t>
      </w:r>
      <w:r>
        <w:t xml:space="preserve"> </w:t>
      </w:r>
      <w:r>
        <w:t xml:space="preserve">(</w:t>
      </w:r>
      <w:hyperlink w:anchor="ref-baker2018">
        <w:r>
          <w:rPr>
            <w:rStyle w:val="Hyperlink"/>
          </w:rPr>
          <w:t xml:space="preserve">Baker and Karasti, 2018</w:t>
        </w:r>
      </w:hyperlink>
      <w:r>
        <w:t xml:space="preserve">)</w:t>
      </w:r>
      <w:r>
        <w:t xml:space="preserve">. Another aspect of this limitation is that much data today is inherently social and interpersonal, such as social network graphs, family media accounts or shared banking and retail accounts. There is a personal data (and thus human information) ecosystem within individuals’ own lives as well as the external ecosystem held by providers. The matters of collective privacy</w:t>
      </w:r>
      <w:r>
        <w:t xml:space="preserve"> </w:t>
      </w:r>
      <w:r>
        <w:t xml:space="preserve">(</w:t>
      </w:r>
      <w:hyperlink w:anchor="ref-taylor2016">
        <w:r>
          <w:rPr>
            <w:rStyle w:val="Hyperlink"/>
          </w:rPr>
          <w:t xml:space="preserve">Taylor, Floridi and Van der Sloot, 2016</w:t>
        </w:r>
      </w:hyperlink>
      <w:r>
        <w:t xml:space="preserve">)</w:t>
      </w:r>
      <w:r>
        <w:t xml:space="preserve"> </w:t>
      </w:r>
      <w:r>
        <w:t xml:space="preserve">and collective harms through data such as through algorithmic profiling</w:t>
      </w:r>
      <w:r>
        <w:t xml:space="preserve"> </w:t>
      </w:r>
      <w:r>
        <w:t xml:space="preserve">(</w:t>
      </w:r>
      <w:hyperlink w:anchor="ref-tisne2020">
        <w:r>
          <w:rPr>
            <w:rStyle w:val="Hyperlink"/>
          </w:rPr>
          <w:t xml:space="preserve">Tisné, 2020</w:t>
        </w:r>
      </w:hyperlink>
      <w:r>
        <w:t xml:space="preserve">)</w:t>
      </w:r>
      <w:r>
        <w:t xml:space="preserve">, and the exploration of collective rights over data</w:t>
      </w:r>
      <w:r>
        <w:t xml:space="preserve"> </w:t>
      </w:r>
      <w:r>
        <w:t xml:space="preserve">(</w:t>
      </w:r>
      <w:hyperlink w:anchor="ref-muhlhoff2023">
        <w:r>
          <w:rPr>
            <w:rStyle w:val="Hyperlink"/>
          </w:rPr>
          <w:t xml:space="preserve">Mühlhoff, 2023</w:t>
        </w:r>
      </w:hyperlink>
      <w:r>
        <w:t xml:space="preserve">)</w:t>
      </w:r>
      <w:r>
        <w:t xml:space="preserve"> </w:t>
      </w:r>
      <w:r>
        <w:t xml:space="preserve">are worthy of further study.</w:t>
      </w:r>
    </w:p>
    <w:p>
      <w:pPr>
        <w:pStyle w:val="BodyText"/>
      </w:pPr>
      <w:r>
        <w:t xml:space="preserve">In this thesis, a deliberate decision was taken to refer to the distinct legal concepts of</w:t>
      </w:r>
      <w:r>
        <w:t xml:space="preserve"> </w:t>
      </w:r>
      <w:r>
        <w:rPr>
          <w:iCs/>
          <w:i/>
        </w:rPr>
        <w:t xml:space="preserve">data processor</w:t>
      </w:r>
      <w:r>
        <w:t xml:space="preserve"> </w:t>
      </w:r>
      <w:r>
        <w:t xml:space="preserve">and</w:t>
      </w:r>
      <w:r>
        <w:t xml:space="preserve"> </w:t>
      </w:r>
      <w:r>
        <w:rPr>
          <w:iCs/>
          <w:i/>
        </w:rPr>
        <w:t xml:space="preserve">data controller</w:t>
      </w:r>
      <w:r>
        <w:t xml:space="preserve"> </w:t>
      </w:r>
      <w:r>
        <w:t xml:space="preserve">collectively as</w:t>
      </w:r>
      <w:r>
        <w:t xml:space="preserve"> </w:t>
      </w:r>
      <w:r>
        <w:rPr>
          <w:iCs/>
          <w:i/>
        </w:rPr>
        <w:t xml:space="preserve">data holder</w:t>
      </w:r>
      <w:r>
        <w:t xml:space="preserve"> </w:t>
      </w:r>
      <w:r>
        <w:t xml:space="preserve">[</w:t>
      </w:r>
      <w:hyperlink w:anchor="ari-data-terms">
        <w:r>
          <w:rPr>
            <w:rStyle w:val="Hyperlink"/>
          </w:rPr>
          <w:t xml:space="preserve">ARI2.1</w:t>
        </w:r>
      </w:hyperlink>
      <w:r>
        <w:t xml:space="preserve">]. This was useful for simplifying explanations and was easier for participants to understand. However, it has the consequence of brushing over some important distinctions. A data processor carries out processing of data on a data controller’s behalf, and hence does not bear the same legal responsibilities for data protection (for example, they are not required to satisfy Subject Access Requests). As with the decision to use a legal basis for data processing other than consent, companies can use the concept of</w:t>
      </w:r>
      <w:r>
        <w:t xml:space="preserve"> </w:t>
      </w:r>
      <w:r>
        <w:rPr>
          <w:iCs/>
          <w:i/>
        </w:rPr>
        <w:t xml:space="preserve">joint controllership</w:t>
      </w:r>
      <w:r>
        <w:t xml:space="preserve"> </w:t>
      </w:r>
      <w:r>
        <w:t xml:space="preserve">to declare their data processing partners, or sometimes the data subject themselves</w:t>
      </w:r>
      <w:r>
        <w:t xml:space="preserve"> </w:t>
      </w:r>
      <w:r>
        <w:t xml:space="preserve">(</w:t>
      </w:r>
      <w:hyperlink w:anchor="ref-edwards2019">
        <w:r>
          <w:rPr>
            <w:rStyle w:val="Hyperlink"/>
          </w:rPr>
          <w:t xml:space="preserve">Edwards</w:t>
        </w:r>
        <w:r>
          <w:rPr>
            <w:rStyle w:val="Hyperlink"/>
          </w:rPr>
          <w:t xml:space="preserve"> </w:t>
        </w:r>
        <w:r>
          <w:rPr>
            <w:rStyle w:val="Hyperlink"/>
            <w:iCs/>
            <w:i/>
          </w:rPr>
          <w:t xml:space="preserve">et al.</w:t>
        </w:r>
        <w:r>
          <w:rPr>
            <w:rStyle w:val="Hyperlink"/>
          </w:rPr>
          <w:t xml:space="preserve">, 2019</w:t>
        </w:r>
      </w:hyperlink>
      <w:r>
        <w:t xml:space="preserve">)</w:t>
      </w:r>
      <w:r>
        <w:t xml:space="preserve">, as a data controller. The digipower project found evidence of at least one retailer declaring hundreds of joint controller relationships with minor and unheard-of tracking and cookie companies, making an unmanageably complex picture for users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The declaration of joint controller relationships can result in a situation that where it is difficult to clearly delineate responsibility</w:t>
      </w:r>
      <w:r>
        <w:t xml:space="preserve"> </w:t>
      </w:r>
      <w:r>
        <w:t xml:space="preserve">(</w:t>
      </w:r>
      <w:hyperlink w:anchor="ref-colcelli2019">
        <w:r>
          <w:rPr>
            <w:rStyle w:val="Hyperlink"/>
          </w:rPr>
          <w:t xml:space="preserve">Colcelli, 2019</w:t>
        </w:r>
      </w:hyperlink>
      <w:r>
        <w:t xml:space="preserve">)</w:t>
      </w:r>
      <w:r>
        <w:t xml:space="preserve">, and can create additional burdens for smaller companies</w:t>
      </w:r>
      <w:r>
        <w:t xml:space="preserve"> </w:t>
      </w:r>
      <w:r>
        <w:t xml:space="preserve">(</w:t>
      </w:r>
      <w:hyperlink w:anchor="ref-vanLoon2018">
        <w:r>
          <w:rPr>
            <w:rStyle w:val="Hyperlink"/>
          </w:rPr>
          <w:t xml:space="preserve">Loon, 2018</w:t>
        </w:r>
      </w:hyperlink>
      <w:r>
        <w:t xml:space="preserve">)</w:t>
      </w:r>
      <w:r>
        <w:t xml:space="preserve">. These complexities can make data rights become very difficult to apply, such as Internet-of-Things [IoT] environments</w:t>
      </w:r>
      <w:r>
        <w:t xml:space="preserve"> </w:t>
      </w:r>
      <w:r>
        <w:t xml:space="preserve">(</w:t>
      </w:r>
      <w:hyperlink w:anchor="ref-vanMill2022">
        <w:r>
          <w:rPr>
            <w:rStyle w:val="Hyperlink"/>
          </w:rPr>
          <w:t xml:space="preserve">Mill and Quintais, 2022</w:t>
        </w:r>
      </w:hyperlink>
      <w:r>
        <w:t xml:space="preserve">)</w:t>
      </w:r>
      <w:r>
        <w:t xml:space="preserve">. The case of doorbell cameras has become especially complicated after court rulings have determined that owners of doorbell cameras can be considered data controllers and thus liable to large fines</w:t>
      </w:r>
      <w:r>
        <w:t xml:space="preserve"> </w:t>
      </w:r>
      <w:r>
        <w:t xml:space="preserve">(</w:t>
      </w:r>
      <w:hyperlink w:anchor="ref-milmo2021">
        <w:r>
          <w:rPr>
            <w:rStyle w:val="Hyperlink"/>
          </w:rPr>
          <w:t xml:space="preserve">Milmo, 2021</w:t>
        </w:r>
      </w:hyperlink>
      <w:r>
        <w:t xml:space="preserve">)</w:t>
      </w:r>
      <w:r>
        <w:t xml:space="preserve"> </w:t>
      </w:r>
      <w:r>
        <w:t xml:space="preserve">if they cannot satisfy GDPR requests correctly (something which a regular citizen would find very hard to do). This has raised serious questions over whether home IoT and home surveillance technologies are empowering and viable for their stated purpose</w:t>
      </w:r>
      <w:r>
        <w:t xml:space="preserve"> </w:t>
      </w:r>
      <w:r>
        <w:t xml:space="preserve">(</w:t>
      </w:r>
      <w:hyperlink w:anchor="ref-kelly2023">
        <w:r>
          <w:rPr>
            <w:rStyle w:val="Hyperlink"/>
          </w:rPr>
          <w:t xml:space="preserve">Kelly, 2023</w:t>
        </w:r>
      </w:hyperlink>
      <w:r>
        <w:t xml:space="preserve">)</w:t>
      </w:r>
      <w:r>
        <w:t xml:space="preserve">. The net result of all of these issues is to make a situation that is already complex and hard to understand for individuals become even more so. There is significant scope for future work to explore the complexities of data relations between organisations, especially with regard to the differing legal terms and responsibilities. The exchange of personal data between data brokers is extensive and particularly poorly understood and under-regulated and deserves scrutiny</w:t>
      </w:r>
      <w:r>
        <w:t xml:space="preserve"> </w:t>
      </w:r>
      <w:r>
        <w:t xml:space="preserve">(</w:t>
      </w:r>
      <w:hyperlink w:anchor="ref-keegan2022">
        <w:r>
          <w:rPr>
            <w:rStyle w:val="Hyperlink"/>
          </w:rPr>
          <w:t xml:space="preserve">Keegan and Ng, 2022</w:t>
        </w:r>
      </w:hyperlink>
      <w:r>
        <w:t xml:space="preserve">)</w:t>
      </w:r>
      <w:r>
        <w:t xml:space="preserve">.</w:t>
      </w:r>
    </w:p>
    <w:p>
      <w:pPr>
        <w:pStyle w:val="BodyText"/>
      </w:pPr>
      <w:r>
        <w:t xml:space="preserve">At an ideological level, the design thinking around how to improve data relations in line with identified wants [</w:t>
      </w:r>
      <w:hyperlink w:anchor="chapter-6">
        <w:r>
          <w:rPr>
            <w:rStyle w:val="Hyperlink"/>
          </w:rPr>
          <w:t xml:space="preserve">Chapter 6</w:t>
        </w:r>
      </w:hyperlink>
      <w:r>
        <w:t xml:space="preserve">] are heavily influenced by human-centric idealism, as shared by PDE and MyData practitioners [</w:t>
      </w:r>
      <w:hyperlink w:anchor="X7b06b2486a051055e43ae1127e87196d505e2f3">
        <w:r>
          <w:rPr>
            <w:rStyle w:val="Hyperlink"/>
          </w:rPr>
          <w:t xml:space="preserve">2.3.4</w:t>
        </w:r>
      </w:hyperlink>
      <w:r>
        <w:t xml:space="preserve">]. While human-centricity is a noble ideal (from an individual or social good perspective), it is important to acknowledge its limitations. Coulton and Lindley argue that a focus on the relations that a human has with his or her world is reductive, and that better</w:t>
      </w:r>
      <w:r>
        <w:t xml:space="preserve"> </w:t>
      </w:r>
      <w:r>
        <w:rPr>
          <w:iCs/>
          <w:i/>
        </w:rPr>
        <w:t xml:space="preserve">‘</w:t>
      </w:r>
      <w:r>
        <w:rPr>
          <w:iCs/>
          <w:i/>
        </w:rPr>
        <w:t xml:space="preserve">More-than-Human-centric</w:t>
      </w:r>
      <w:r>
        <w:rPr>
          <w:iCs/>
          <w:i/>
        </w:rPr>
        <w:t xml:space="preserve">’</w:t>
      </w:r>
      <w:r>
        <w:t xml:space="preserve"> </w:t>
      </w:r>
      <w:r>
        <w:t xml:space="preserve">design could be achieved by focussing on a metaphor of</w:t>
      </w:r>
      <w:r>
        <w:t xml:space="preserve"> </w:t>
      </w:r>
      <w:r>
        <w:rPr>
          <w:iCs/>
          <w:i/>
        </w:rPr>
        <w:t xml:space="preserve">constellations</w:t>
      </w:r>
      <w:r>
        <w:t xml:space="preserve"> </w:t>
      </w:r>
      <w:r>
        <w:t xml:space="preserve">and a recognition that focusing only on the human perspective can cause aspects of the design context to be overlooked</w:t>
      </w:r>
      <w:r>
        <w:t xml:space="preserve"> </w:t>
      </w:r>
      <w:r>
        <w:t xml:space="preserve">(</w:t>
      </w:r>
      <w:hyperlink w:anchor="ref-coulton2019">
        <w:r>
          <w:rPr>
            <w:rStyle w:val="Hyperlink"/>
          </w:rPr>
          <w:t xml:space="preserve">Coulton and Lindley, 2019</w:t>
        </w:r>
      </w:hyperlink>
      <w:r>
        <w:t xml:space="preserve">)</w:t>
      </w:r>
      <w:r>
        <w:t xml:space="preserve">. Elisa Giacardi argues that a model where we consider the</w:t>
      </w:r>
      <w:r>
        <w:t xml:space="preserve"> </w:t>
      </w:r>
      <w:r>
        <w:rPr>
          <w:iCs/>
          <w:i/>
        </w:rPr>
        <w:t xml:space="preserve">co-performance</w:t>
      </w:r>
      <w:r>
        <w:t xml:space="preserve"> </w:t>
      </w:r>
      <w:r>
        <w:t xml:space="preserve">of humans and automated systems could unlock new design thinking</w:t>
      </w:r>
      <w:r>
        <w:t xml:space="preserve"> </w:t>
      </w:r>
      <w:r>
        <w:t xml:space="preserve">(</w:t>
      </w:r>
      <w:hyperlink w:anchor="ref-giaccardi2020">
        <w:r>
          <w:rPr>
            <w:rStyle w:val="Hyperlink"/>
          </w:rPr>
          <w:t xml:space="preserve">Giaccardi and Redström, 2020</w:t>
        </w:r>
      </w:hyperlink>
      <w:r>
        <w:t xml:space="preserve">)</w:t>
      </w:r>
      <w:r>
        <w:t xml:space="preserve">; indeed it is clear that with the emergence of LLM-powered chatbots such as ChatGPT, such a paradigm shift in HCI design thinking will be vital. Wakkary</w:t>
      </w:r>
      <w:r>
        <w:t xml:space="preserve"> </w:t>
      </w:r>
      <w:r>
        <w:rPr>
          <w:iCs/>
          <w:i/>
        </w:rPr>
        <w:t xml:space="preserve">et al.</w:t>
      </w:r>
      <w:r>
        <w:t xml:space="preserve"> </w:t>
      </w:r>
      <w:r>
        <w:t xml:space="preserve">consider that humans and technologies are fundamentally entangled in complex relations which require the use significantly more advanced philosophical lenses to be effectively designed for</w:t>
      </w:r>
      <w:r>
        <w:t xml:space="preserve"> </w:t>
      </w:r>
      <w:r>
        <w:t xml:space="preserve">(</w:t>
      </w:r>
      <w:hyperlink w:anchor="ref-wakkary2022">
        <w:r>
          <w:rPr>
            <w:rStyle w:val="Hyperlink"/>
          </w:rPr>
          <w:t xml:space="preserve">Wakkary, Oogjes and Behzad, 2022</w:t>
        </w:r>
      </w:hyperlink>
      <w:r>
        <w:t xml:space="preserve">)</w:t>
      </w:r>
      <w:r>
        <w:t xml:space="preserve">. Pragmatically, however, simple human-centric visions such as the MyData principles</w:t>
      </w:r>
      <w:r>
        <w:t xml:space="preserve"> </w:t>
      </w:r>
      <w:r>
        <w:t xml:space="preserve">(</w:t>
      </w:r>
      <w:hyperlink w:anchor="ref-mydata2017declaration">
        <w:r>
          <w:rPr>
            <w:rStyle w:val="Hyperlink"/>
          </w:rPr>
          <w:t xml:space="preserve">MyData, 2017</w:t>
        </w:r>
      </w:hyperlink>
      <w:r>
        <w:t xml:space="preserve">)</w:t>
      </w:r>
      <w:r>
        <w:t xml:space="preserve"> </w:t>
      </w:r>
      <w:r>
        <w:t xml:space="preserve">and the Human Data Relations agenda of this thesis, do seem to be useful mental models and sensible</w:t>
      </w:r>
      <w:r>
        <w:t xml:space="preserve"> </w:t>
      </w:r>
      <w:r>
        <w:t xml:space="preserve">‘</w:t>
      </w:r>
      <w:r>
        <w:t xml:space="preserve">first steps</w:t>
      </w:r>
      <w:r>
        <w:t xml:space="preserve">’</w:t>
      </w:r>
      <w:r>
        <w:t xml:space="preserve"> </w:t>
      </w:r>
      <w:r>
        <w:t xml:space="preserve">for research and design innovation as we move beyond data-centric and human-computer interaction thinking. The more advanced mental models of human-centricity’s critics will surely be useful once some of the first steps toward human-centred personal data ecosystems have been realised.</w:t>
      </w:r>
    </w:p>
    <w:p>
      <w:pPr>
        <w:pStyle w:val="BodyText"/>
      </w:pPr>
      <w:r>
        <w:t xml:space="preserve">In considering the possibilities for future work in improving people’s relationships with and through data, the Human Data Relations agenda can be considered as a design challenge at multiple levels. It could be used by interface designers to consider how to better represent data as meaningful life or ecosystem information to users [</w:t>
      </w:r>
      <w:hyperlink w:anchor="X40141584308035bb03b454584dbe23925c8bab3">
        <w:r>
          <w:rPr>
            <w:rStyle w:val="Hyperlink"/>
          </w:rPr>
          <w:t xml:space="preserve">7.4</w:t>
        </w:r>
      </w:hyperlink>
      <w:r>
        <w:t xml:space="preserve">;</w:t>
      </w:r>
      <w:r>
        <w:t xml:space="preserve"> </w:t>
      </w:r>
      <w:hyperlink w:anchor="X8e23ca5790b46b3d6b48f23efe069ee480120e3">
        <w:r>
          <w:rPr>
            <w:rStyle w:val="Hyperlink"/>
          </w:rPr>
          <w:t xml:space="preserve">9.4.4</w:t>
        </w:r>
      </w:hyperlink>
      <w:r>
        <w:t xml:space="preserve">;</w:t>
      </w:r>
      <w:r>
        <w:t xml:space="preserve"> </w:t>
      </w:r>
      <w:hyperlink w:anchor="X7152d408f074f2e070ff05017700f04ee6bf58d">
        <w:r>
          <w:rPr>
            <w:rStyle w:val="Hyperlink"/>
          </w:rPr>
          <w:t xml:space="preserve">9.4.5</w:t>
        </w:r>
      </w:hyperlink>
      <w:r>
        <w:t xml:space="preserve">]. It could be used by user experience designers to rethink how existing interaction journeys can become more engaging, empowering and have a lasting value to users [</w:t>
      </w:r>
      <w:hyperlink w:anchor="X2ad50ca4cbd63a3f83ddbd28315b55b52f600fb">
        <w:r>
          <w:rPr>
            <w:rStyle w:val="Hyperlink"/>
          </w:rPr>
          <w:t xml:space="preserve">4.4.2</w:t>
        </w:r>
      </w:hyperlink>
      <w:r>
        <w:t xml:space="preserve">;</w:t>
      </w:r>
      <w:r>
        <w:t xml:space="preserve"> </w:t>
      </w:r>
      <w:hyperlink w:anchor="X50cfb66b1912fccfdb12a41362d2393042887e5">
        <w:r>
          <w:rPr>
            <w:rStyle w:val="Hyperlink"/>
          </w:rPr>
          <w:t xml:space="preserve">5.6.2</w:t>
        </w:r>
      </w:hyperlink>
      <w:r>
        <w:t xml:space="preserve">]. It could be used in service design or business process design to consider how service relationships can be redesigned to be more involving and inclusive, or to achieve greater levels of data accuracy, data use consent or improved customer loyalty [</w:t>
      </w:r>
      <w:hyperlink w:anchor="Xb8938636fe209df72afeee0da7ccac88ff1f5b9">
        <w:r>
          <w:rPr>
            <w:rStyle w:val="Hyperlink"/>
          </w:rPr>
          <w:t xml:space="preserve">4.5.3</w:t>
        </w:r>
      </w:hyperlink>
      <w:r>
        <w:t xml:space="preserve">;</w:t>
      </w:r>
      <w:r>
        <w:t xml:space="preserve"> </w:t>
      </w:r>
      <w:hyperlink w:anchor="principle-13">
        <w:r>
          <w:rPr>
            <w:rStyle w:val="Hyperlink"/>
          </w:rPr>
          <w:t xml:space="preserve">Principle 13</w:t>
        </w:r>
      </w:hyperlink>
      <w:r>
        <w:t xml:space="preserve">]. It could be used in the design of law or policies to give people more effective digital rights [</w:t>
      </w:r>
      <w:hyperlink w:anchor="X2d09f34970bc84346435f2ffe98303e41132089">
        <w:r>
          <w:rPr>
            <w:rStyle w:val="Hyperlink"/>
          </w:rPr>
          <w:t xml:space="preserve">5.6.1</w:t>
        </w:r>
      </w:hyperlink>
      <w:r>
        <w:t xml:space="preserve">]. It could be used by public service providers in the design of better public engagement programmes or social interventions</w:t>
      </w:r>
      <w:r>
        <w:t xml:space="preserve"> </w:t>
      </w:r>
      <w:hyperlink w:anchor="X1918ec11813e2a958c673c0624094b8c07c76a0">
        <w:r>
          <w:rPr>
            <w:rStyle w:val="Hyperlink"/>
          </w:rPr>
          <w:t xml:space="preserve">4.6</w:t>
        </w:r>
      </w:hyperlink>
      <w:r>
        <w:t xml:space="preserve">. It could be used by activist groups to design campaigns or initiatives that might have greater impact [</w:t>
      </w:r>
      <w:hyperlink w:anchor="X1f7a3a299f62225cba076fc6d3d6e677f303482">
        <w:r>
          <w:rPr>
            <w:rStyle w:val="Hyperlink"/>
          </w:rPr>
          <w:t xml:space="preserve">9.3</w:t>
        </w:r>
      </w:hyperlink>
      <w:r>
        <w:t xml:space="preserve">;</w:t>
      </w:r>
      <w:r>
        <w:t xml:space="preserve"> </w:t>
      </w:r>
      <w:hyperlink w:anchor="X6d06bb31b570b94d7b4325f511f853dbe771c21">
        <w:r>
          <w:rPr>
            <w:rStyle w:val="Hyperlink"/>
          </w:rPr>
          <w:t xml:space="preserve">9.5</w:t>
        </w:r>
      </w:hyperlink>
      <w:r>
        <w:t xml:space="preserve">]. It could even be used by individuals to design better systems (in other words, to make different provider and app / workflow choices) for managing their own digital lives [</w:t>
      </w:r>
      <w:hyperlink w:anchor="X1ac9a64a711d9d1b7130e24a92eb95b0850c705">
        <w:r>
          <w:rPr>
            <w:rStyle w:val="Hyperlink"/>
          </w:rPr>
          <w:t xml:space="preserve">5.6.3</w:t>
        </w:r>
      </w:hyperlink>
      <w:r>
        <w:t xml:space="preserve">;</w:t>
      </w:r>
      <w:r>
        <w:t xml:space="preserve"> </w:t>
      </w:r>
      <w:hyperlink w:anchor="X1f7a3a299f62225cba076fc6d3d6e677f303482">
        <w:r>
          <w:rPr>
            <w:rStyle w:val="Hyperlink"/>
          </w:rPr>
          <w:t xml:space="preserve">9.3</w:t>
        </w:r>
      </w:hyperlink>
      <w:r>
        <w:t xml:space="preserve">;</w:t>
      </w:r>
      <w:r>
        <w:t xml:space="preserve"> </w:t>
      </w:r>
      <w:hyperlink w:anchor="X43e9993d763761df3960c67ee4532381f46fe67">
        <w:r>
          <w:rPr>
            <w:rStyle w:val="Hyperlink"/>
          </w:rPr>
          <w:t xml:space="preserve">9.6.1</w:t>
        </w:r>
      </w:hyperlink>
      <w:r>
        <w:t xml:space="preserve">]. All of these areas and more are suitable for future design and research work building on the kernel presented here in the Human Data Relations agenda.</w:t>
      </w:r>
    </w:p>
    <w:bookmarkEnd w:id="66"/>
    <w:bookmarkStart w:id="67" w:name="X9f16581c451da37e3e7fea6e796799210c42932"/>
    <w:p>
      <w:pPr>
        <w:pStyle w:val="Heading2"/>
      </w:pPr>
      <w:r>
        <w:rPr>
          <w:rStyle w:val="SectionNumber"/>
        </w:rPr>
        <w:t xml:space="preserve">1.4</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491f8b5ecc09d9de308ea37e6a23ad2dd66c256">
        <w:r>
          <w:rPr>
            <w:rStyle w:val="Hyperlink"/>
          </w:rPr>
          <w:t xml:space="preserve">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the process of publishing peer-reviewed papers. Recognising that HDR issues would be unlikely to surface organically, I was able to use careful sensitisation [</w:t>
      </w:r>
      <w:hyperlink w:anchor="X2aae5955584904bc2d13eabc3cf07107b276398">
        <w:r>
          <w:rPr>
            <w:rStyle w:val="Hyperlink"/>
          </w:rPr>
          <w:t xml:space="preserve">3.4.1</w:t>
        </w:r>
      </w:hyperlink>
      <w:r>
        <w:t xml:space="preserve">], balanced and open questioning and neutrally-designed stimuli [</w:t>
      </w:r>
      <w:hyperlink w:anchor="Xbc954f986ea78ee55f14e1ee288f60983e46fb5">
        <w:r>
          <w:rPr>
            <w:rStyle w:val="Hyperlink"/>
          </w:rPr>
          <w:t xml:space="preserve">3.4.2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w:t>
      </w:r>
      <w:r>
        <w:t xml:space="preserve"> </w:t>
      </w:r>
      <w:r>
        <w:rPr>
          <w:iCs/>
          <w:i/>
        </w:rPr>
        <w:t xml:space="preserve">Human Data Interaction</w:t>
      </w:r>
      <w:r>
        <w:t xml:space="preserve"> </w:t>
      </w:r>
      <w:r>
        <w:t xml:space="preserve">[</w:t>
      </w:r>
      <w:hyperlink w:anchor="X83b2e9f55420fa41efd48e4a45103566c9e4767">
        <w:r>
          <w:rPr>
            <w:rStyle w:val="Hyperlink"/>
          </w:rPr>
          <w:t xml:space="preserve">2.3.2</w:t>
        </w:r>
      </w:hyperlink>
      <w:r>
        <w:t xml:space="preserve">] and the emergent innovation around</w:t>
      </w:r>
      <w:r>
        <w:t xml:space="preserve"> </w:t>
      </w:r>
      <w:r>
        <w:rPr>
          <w:iCs/>
          <w:i/>
        </w:rPr>
        <w:t xml:space="preserve">Personal Data Ecosystems</w:t>
      </w:r>
      <w:r>
        <w:t xml:space="preserve"> </w:t>
      </w:r>
      <w:r>
        <w:t xml:space="preserve">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solidified my existing understandings and was able to contextualise my evolving learning against the established research landscape.</w:t>
      </w:r>
    </w:p>
    <w:p>
      <w:pPr>
        <w:pStyle w:val="BodyText"/>
      </w:pPr>
      <w:r>
        <w:t xml:space="preserve">As my understanding from the Case Studies coalesced into a clear, cross-validated understanding of what people want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towards activist exploration of how to work towards delivering these new capabilities in practice, enabled by the models and ideas I developed. This ultimately gave me the confidence to recognise that, in this body of work, I had identified a newly emergent design philosophy, that deserved to be named, scoped, and explored—</w:t>
      </w:r>
      <w:r>
        <w:rPr>
          <w:bCs/>
          <w:b/>
        </w:rPr>
        <w:t xml:space="preserve">the research agenda for better Human Data Relations</w:t>
      </w:r>
      <w:r>
        <w:t xml:space="preserve">.</w:t>
      </w:r>
    </w:p>
    <w:p>
      <w:pPr>
        <w:pStyle w:val="BodyText"/>
      </w:pPr>
      <w:r>
        <w:t xml:space="preserve">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 Figures</w:t>
      </w:r>
      <w:r>
        <w:t xml:space="preserve"> </w:t>
      </w:r>
      <w:hyperlink w:anchor="figure-3.1">
        <w:r>
          <w:rPr>
            <w:rStyle w:val="Hyperlink"/>
          </w:rPr>
          <w:t xml:space="preserve">3.1</w:t>
        </w:r>
      </w:hyperlink>
      <w:r>
        <w:t xml:space="preserve"> </w:t>
      </w:r>
      <w:r>
        <w:t xml:space="preserve">and</w:t>
      </w:r>
      <w:r>
        <w:t xml:space="preserve"> </w:t>
      </w:r>
      <w:hyperlink w:anchor="figure-3.2">
        <w:r>
          <w:rPr>
            <w:rStyle w:val="Hyperlink"/>
          </w:rPr>
          <w:t xml:space="preserve">3.2</w:t>
        </w:r>
      </w:hyperlink>
      <w:r>
        <w:t xml:space="preserve">] of my thesis, producing a powerful feedback loop where findings from the Case Studies became immediately applicable to real-world design activities, while experiences of the real-life barriers to pursuit of the HDR goals helped to challenge and evolve the theoretical models (such as shared data interaction) and designs emerging from the Case Studies. The project contexts provided a place where emerging qualitative findings and design ideas could be tested and iteratively improved through attempts to operationalise them, producing well-grounded and actionable learnings.</w:t>
      </w:r>
    </w:p>
    <w:p>
      <w:pPr>
        <w:pStyle w:val="BodyText"/>
      </w:pPr>
      <w:r>
        <w:t xml:space="preserve">This dual research-and-practice approach has allowed me to push this thesis further than a traditional HCI study would allow, and underpins the two-track research approach of this thesis, where in the secondary project work track I stepped out of the traditional researcher-as-observer stance and stepped into taking an active role as an expert in user-centred design (UCD) [</w:t>
      </w:r>
      <w:hyperlink w:anchor="X98d4ef3e7a6039ddbf0f888a2fd1c5243f7318b">
        <w:r>
          <w:rPr>
            <w:rStyle w:val="Hyperlink"/>
          </w:rPr>
          <w:t xml:space="preserve">3.2.1</w:t>
        </w:r>
      </w:hyperlink>
      <w:r>
        <w:t xml:space="preserve">], adversarial design [</w:t>
      </w:r>
      <w:hyperlink w:anchor="X98d4ef3e7a6039ddbf0f888a2fd1c5243f7318b">
        <w:r>
          <w:rPr>
            <w:rStyle w:val="Hyperlink"/>
          </w:rPr>
          <w:t xml:space="preserve">3.2.1</w:t>
        </w:r>
      </w:hyperlink>
      <w:r>
        <w:t xml:space="preserve">] and practical software interface and process design and innovation.</w:t>
      </w:r>
    </w:p>
    <w:p>
      <w:pPr>
        <w:pStyle w:val="BodyText"/>
      </w:pPr>
      <w:r>
        <w:t xml:space="preserve">It has been a tremendous privilege to spend over six years examining in great detail the nature of the problems facing our data-centric society, to translate those impacts into tangible needs as an understanding of the problems of the power imbalance over personal data, and to be able to map out the landscape and possibilities for improving the way we relate to data. Through this research, I have discovered rich evidence to quantify and qualify the losses of agency I had suspected prior to beginning the PhD, and in a far greater level of detail than existing research had thus far uncovered.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w:t>
      </w:r>
      <w:r>
        <w:t xml:space="preserve"> </w:t>
      </w:r>
      <w:hyperlink w:anchor="figure-ari7.1">
        <w:r>
          <w:rPr>
            <w:rStyle w:val="Hyperlink"/>
          </w:rPr>
          <w:t xml:space="preserve">Figure ARI7.1</w:t>
        </w:r>
      </w:hyperlink>
      <w:r>
        <w:t xml:space="preserve">] while also exploring what can be achieved from</w:t>
      </w:r>
      <w:r>
        <w:t xml:space="preserve"> </w:t>
      </w:r>
      <w:r>
        <w:t xml:space="preserve">‘</w:t>
      </w:r>
      <w:r>
        <w:t xml:space="preserve">within the system</w:t>
      </w:r>
      <w:r>
        <w:t xml:space="preserve">’</w:t>
      </w:r>
      <w:r>
        <w:t xml:space="preserve"> </w:t>
      </w:r>
      <w:r>
        <w:t xml:space="preserve">through the work with Connected Health Cities and BBC R&amp;D. It has allowed me to design and prototype new models and views of data and of information which have transformed the way I look at digital information and how we relate to it, in particular:</w:t>
      </w:r>
    </w:p>
    <w:p>
      <w:pPr>
        <w:numPr>
          <w:ilvl w:val="0"/>
          <w:numId w:val="1010"/>
        </w:numPr>
        <w:pStyle w:val="Compact"/>
      </w:pPr>
      <w:r>
        <w:t xml:space="preserve">the five types of held data [</w:t>
      </w:r>
      <w:hyperlink w:anchor="table-5.2">
        <w:r>
          <w:rPr>
            <w:rStyle w:val="Hyperlink"/>
          </w:rPr>
          <w:t xml:space="preserve">Table 5.2</w:t>
        </w:r>
      </w:hyperlink>
      <w:r>
        <w:t xml:space="preserve">],</w:t>
      </w:r>
    </w:p>
    <w:p>
      <w:pPr>
        <w:numPr>
          <w:ilvl w:val="0"/>
          <w:numId w:val="1010"/>
        </w:numPr>
        <w:pStyle w:val="Compact"/>
      </w:pPr>
      <w:r>
        <w:t xml:space="preserve">the two purposes of HDR [</w:t>
      </w:r>
      <w:hyperlink w:anchor="figure-7.1">
        <w:r>
          <w:rPr>
            <w:rStyle w:val="Hyperlink"/>
          </w:rPr>
          <w:t xml:space="preserve">Figure 7.1</w:t>
        </w:r>
      </w:hyperlink>
      <w:r>
        <w:t xml:space="preserve">],</w:t>
      </w:r>
    </w:p>
    <w:p>
      <w:pPr>
        <w:numPr>
          <w:ilvl w:val="0"/>
          <w:numId w:val="1010"/>
        </w:numPr>
        <w:pStyle w:val="Compact"/>
      </w:pPr>
      <w:r>
        <w:t xml:space="preserve">the approaches to effecting change in the HDR landscape [Figures</w:t>
      </w:r>
      <w:r>
        <w:t xml:space="preserve"> </w:t>
      </w:r>
      <w:hyperlink w:anchor="figure-9.1">
        <w:r>
          <w:rPr>
            <w:rStyle w:val="Hyperlink"/>
          </w:rPr>
          <w:t xml:space="preserve">9.1</w:t>
        </w:r>
      </w:hyperlink>
      <w:r>
        <w:t xml:space="preserve">,</w:t>
      </w:r>
      <w:r>
        <w:t xml:space="preserve"> </w:t>
      </w:r>
      <w:hyperlink w:anchor="figure-9.2">
        <w:r>
          <w:rPr>
            <w:rStyle w:val="Hyperlink"/>
          </w:rPr>
          <w:t xml:space="preserve">9.2</w:t>
        </w:r>
      </w:hyperlink>
      <w:r>
        <w:t xml:space="preserve">,</w:t>
      </w:r>
      <w:r>
        <w:t xml:space="preserve"> </w:t>
      </w:r>
      <w:hyperlink w:anchor="figure-9.18">
        <w:r>
          <w:rPr>
            <w:rStyle w:val="Hyperlink"/>
          </w:rPr>
          <w:t xml:space="preserve">9.18</w:t>
        </w:r>
      </w:hyperlink>
      <w:r>
        <w:t xml:space="preserve">, and</w:t>
      </w:r>
      <w:r>
        <w:t xml:space="preserve"> </w:t>
      </w:r>
      <w:hyperlink w:anchor="figure-9.20">
        <w:r>
          <w:rPr>
            <w:rStyle w:val="Hyperlink"/>
          </w:rPr>
          <w:t xml:space="preserve">9.20</w:t>
        </w:r>
      </w:hyperlink>
      <w:r>
        <w:t xml:space="preserve">], and</w:t>
      </w:r>
    </w:p>
    <w:p>
      <w:pPr>
        <w:numPr>
          <w:ilvl w:val="0"/>
          <w:numId w:val="1010"/>
        </w:numPr>
        <w:pStyle w:val="Compact"/>
      </w:pPr>
      <w:r>
        <w:t xml:space="preserve">the principles for generative action in pursuing better HDR [</w:t>
      </w:r>
      <w:hyperlink w:anchor="Xd679968a7da96b70d4b4612e43ae2e670bb068a">
        <w:r>
          <w:rPr>
            <w:rStyle w:val="Hyperlink"/>
          </w:rPr>
          <w:t xml:space="preserve">10.1</w:t>
        </w:r>
      </w:hyperlink>
      <w:r>
        <w:t xml:space="preserve">].</w:t>
      </w:r>
    </w:p>
    <w:p>
      <w:pPr>
        <w:pStyle w:val="FirstParagraph"/>
      </w:pPr>
      <w:r>
        <w:t xml:space="preserve">I hope these models, as well as the other contributions [</w:t>
      </w:r>
      <w:hyperlink w:anchor="X114b9dabe64741f5700c676da07d4182530a754">
        <w:r>
          <w:rPr>
            <w:rStyle w:val="Hyperlink"/>
          </w:rPr>
          <w:t xml:space="preserve">1.2</w:t>
        </w:r>
      </w:hyperlink>
      <w:r>
        <w:t xml:space="preserve">], can help others to develop their thinking in the same way, to become more HDR-literate and contribute to the crusade for HDR reform that the world so desperately needs.</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Sitra and in the wider</w:t>
      </w:r>
      <w:r>
        <w:t xml:space="preserve"> </w:t>
      </w:r>
      <w:r>
        <w:rPr>
          <w:iCs/>
          <w:i/>
        </w:rPr>
        <w:t xml:space="preserve">MyData</w:t>
      </w:r>
      <w:r>
        <w:t xml:space="preserve"> </w:t>
      </w:r>
      <w:r>
        <w:t xml:space="preserve">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pPr>
        <w:pStyle w:val="BodyText"/>
      </w:pPr>
      <w:r>
        <w:t xml:space="preserve">This opportunity has opened doors that have allowed me to pivot my career towards putting these learnings into action, working on important projects [See</w:t>
      </w:r>
      <w:r>
        <w:t xml:space="preserve"> </w:t>
      </w:r>
      <w:hyperlink w:anchor="section-iv-intro">
        <w:r>
          <w:rPr>
            <w:rStyle w:val="Hyperlink"/>
          </w:rPr>
          <w:t xml:space="preserve">Section IV Introduction</w:t>
        </w:r>
      </w:hyperlink>
      <w:r>
        <w:t xml:space="preserve">] to explore how data interaction reforms can be realised in practice, and how we can become not just innovators but social data activists. Thanks in large part to this research, I am now a Senior UX Designer with the BBC, in a team specialising on data user experience. What started for me as a passion project and a journey in research has become a journey into the design profession. As a designer, I aspire to bring the benefits of this research to the general public through the design of services and interfaces that aim to inform, educate and entertain people in their everyday lives. I now know how to begin to have an impact, how to work on building 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bookmarkEnd w:id="67"/>
    <w:bookmarkStart w:id="68" w:name="X287384bc5ef3ab84a36a5ef1d888df2763567f4"/>
    <w:p>
      <w:pPr>
        <w:pStyle w:val="Heading2"/>
      </w:pPr>
      <w:r>
        <w:rPr>
          <w:rStyle w:val="SectionNumber"/>
        </w:rPr>
        <w:t xml:space="preserve">1.5</w:t>
      </w:r>
      <w:r>
        <w:tab/>
      </w:r>
      <w:r>
        <w:t xml:space="preserve">Legacy of This Thesis</w:t>
      </w:r>
    </w:p>
    <w:p>
      <w:pPr>
        <w:pStyle w:val="FirstParagraph"/>
      </w:pPr>
      <w:r>
        <w:t xml:space="preserve">This thesis offers five key contributions, which summarised in</w:t>
      </w:r>
      <w:r>
        <w:t xml:space="preserve"> </w:t>
      </w:r>
      <w:hyperlink w:anchor="X114b9dabe64741f5700c676da07d4182530a754">
        <w:r>
          <w:rPr>
            <w:rStyle w:val="Hyperlink"/>
          </w:rPr>
          <w:t xml:space="preserve">1.2</w:t>
        </w:r>
      </w:hyperlink>
      <w:r>
        <w:t xml:space="preserve">:</w:t>
      </w:r>
    </w:p>
    <w:p>
      <w:pPr>
        <w:numPr>
          <w:ilvl w:val="0"/>
          <w:numId w:val="1011"/>
        </w:numPr>
        <w:pStyle w:val="Compact"/>
      </w:pPr>
      <w:r>
        <w:t xml:space="preserve">An Understanding of what People want from Personal Data [</w:t>
      </w:r>
      <w:hyperlink w:anchor="X4dcef061335413abfdb9c1ca0b391b7bf178b90">
        <w:r>
          <w:rPr>
            <w:rStyle w:val="Hyperlink"/>
          </w:rPr>
          <w:t xml:space="preserve">1.2.1</w:t>
        </w:r>
      </w:hyperlink>
      <w:r>
        <w:t xml:space="preserve">];</w:t>
      </w:r>
    </w:p>
    <w:p>
      <w:pPr>
        <w:numPr>
          <w:ilvl w:val="0"/>
          <w:numId w:val="1011"/>
        </w:numPr>
        <w:pStyle w:val="Compact"/>
      </w:pPr>
      <w:r>
        <w:t xml:space="preserve">Methodologies for Participatory Work around Personal Data [</w:t>
      </w:r>
      <w:hyperlink w:anchor="Xda43ddc66ea2368258688e802388e932e83f73e">
        <w:r>
          <w:rPr>
            <w:rStyle w:val="Hyperlink"/>
          </w:rPr>
          <w:t xml:space="preserve">1.2.2</w:t>
        </w:r>
      </w:hyperlink>
      <w:r>
        <w:t xml:space="preserve">];</w:t>
      </w:r>
    </w:p>
    <w:p>
      <w:pPr>
        <w:numPr>
          <w:ilvl w:val="0"/>
          <w:numId w:val="1011"/>
        </w:numPr>
        <w:pStyle w:val="Compact"/>
      </w:pPr>
      <w:r>
        <w:t xml:space="preserve">Best Practices and Design Guidelines for Systems and Processes involving Personal Data [</w:t>
      </w:r>
      <w:hyperlink w:anchor="Xf9f33482da53ff8cae20b0359720e365ffcc25c">
        <w:r>
          <w:rPr>
            <w:rStyle w:val="Hyperlink"/>
          </w:rPr>
          <w:t xml:space="preserve">1.2.3</w:t>
        </w:r>
      </w:hyperlink>
      <w:r>
        <w:t xml:space="preserve">];</w:t>
      </w:r>
    </w:p>
    <w:p>
      <w:pPr>
        <w:numPr>
          <w:ilvl w:val="0"/>
          <w:numId w:val="1011"/>
        </w:numPr>
        <w:pStyle w:val="Compact"/>
      </w:pPr>
      <w:r>
        <w:t xml:space="preserve">Principles for Generative Action towards Better Data Relations [</w:t>
      </w:r>
      <w:hyperlink w:anchor="Xe0a2228de6a8253c7b565fe8caa7a8bb775cb45">
        <w:r>
          <w:rPr>
            <w:rStyle w:val="Hyperlink"/>
          </w:rPr>
          <w:t xml:space="preserve">1.2.4</w:t>
        </w:r>
      </w:hyperlink>
      <w:r>
        <w:t xml:space="preserve">]; and</w:t>
      </w:r>
    </w:p>
    <w:p>
      <w:pPr>
        <w:numPr>
          <w:ilvl w:val="0"/>
          <w:numId w:val="1011"/>
        </w:numPr>
        <w:pStyle w:val="Compact"/>
      </w:pPr>
      <w:r>
        <w:t xml:space="preserve">A Detailed and Actionable Research Agenda and Strategy for Empowerment and Systemic Change [</w:t>
      </w:r>
      <w:hyperlink w:anchor="Xa4f4029561e46c6d5d4ba65adc062c220d4fb26">
        <w:r>
          <w:rPr>
            <w:rStyle w:val="Hyperlink"/>
          </w:rPr>
          <w:t xml:space="preserve">1.2.5</w:t>
        </w:r>
      </w:hyperlink>
      <w:r>
        <w:t xml:space="preserve">].</w:t>
      </w:r>
    </w:p>
    <w:p>
      <w:pPr>
        <w:pStyle w:val="FirstParagraph"/>
      </w:pPr>
      <w:r>
        <w:t xml:space="preserve">The constituent parts of these contributions can be easily located using the</w:t>
      </w:r>
      <w:r>
        <w:t xml:space="preserve"> </w:t>
      </w:r>
      <w:hyperlink w:anchor="hdr-glossary-contributions">
        <w:r>
          <w:rPr>
            <w:rStyle w:val="Hyperlink"/>
          </w:rPr>
          <w:t xml:space="preserve">HDR index</w:t>
        </w:r>
      </w:hyperlink>
      <w:r>
        <w:t xml:space="preserve">, which is located after the Appendices.</w:t>
      </w:r>
    </w:p>
    <w:p>
      <w:pPr>
        <w:pStyle w:val="BodyText"/>
      </w:pPr>
      <w:r>
        <w:t xml:space="preserve">Its detailed understanding of individual needs around data interaction and data-centric service relationships [</w:t>
      </w:r>
      <w:hyperlink w:anchor="chapter-6">
        <w:r>
          <w:rPr>
            <w:rStyle w:val="Hyperlink"/>
          </w:rPr>
          <w:t xml:space="preserve">Chapter 6</w:t>
        </w:r>
      </w:hyperlink>
      <w:r>
        <w:t xml:space="preserve">] is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which provides a clear answer to the two primary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People want visible, understandable and useable</w:t>
      </w:r>
      <w:hyperlink w:anchor="fn11">
        <w:r>
          <w:rPr>
            <w:rStyle w:val="Hyperlink"/>
          </w:rPr>
          <w:t xml:space="preserve">11</w:t>
        </w:r>
      </w:hyperlink>
      <w:r>
        <w:t xml:space="preserve"> </w:t>
      </w:r>
      <w:r>
        <w:t xml:space="preserve">data, process transparency, individual oversight capabilities and involvement in decision making.</w:t>
      </w:r>
    </w:p>
    <w:p>
      <w:pPr>
        <w:pStyle w:val="BodyText"/>
      </w:pPr>
      <w:r>
        <w:t xml:space="preserve">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have been synthesised into a clearly-defined new agenda for future research and innovation,</w:t>
      </w:r>
      <w:r>
        <w:t xml:space="preserve"> </w:t>
      </w:r>
      <w:r>
        <w:rPr>
          <w:iCs/>
          <w:i/>
        </w:rPr>
        <w:t xml:space="preserve">Human Data Relations (HDR)</w:t>
      </w:r>
      <w:r>
        <w:t xml:space="preserve"> </w:t>
      </w:r>
      <w:r>
        <w:t xml:space="preserve">[</w:t>
      </w:r>
      <w:hyperlink w:anchor="Xd90f00e19f5543904caf9ab2abd5b800e0613c0">
        <w:r>
          <w:rPr>
            <w:rStyle w:val="Hyperlink"/>
          </w:rPr>
          <w:t xml:space="preserve">7.2</w:t>
        </w:r>
      </w:hyperlink>
      <w:r>
        <w:t xml:space="preserve">] which encompasses four clear objectives [</w:t>
      </w:r>
      <w:hyperlink w:anchor="Xd8b45c5920a4ae6b8956c42dcd24c7e655d0317">
        <w:r>
          <w:rPr>
            <w:rStyle w:val="Hyperlink"/>
          </w:rPr>
          <w:t xml:space="preserve">7.5</w:t>
        </w:r>
      </w:hyperlink>
      <w:r>
        <w:t xml:space="preserve">] for improving individual agency and societal power imbalances around data:</w:t>
      </w:r>
    </w:p>
    <w:p>
      <w:pPr>
        <w:numPr>
          <w:ilvl w:val="0"/>
          <w:numId w:val="1012"/>
        </w:numPr>
        <w:pStyle w:val="Compact"/>
      </w:pPr>
      <w:r>
        <w:t xml:space="preserve">data awareness &amp; understanding,</w:t>
      </w:r>
      <w:r>
        <w:t xml:space="preserve"> </w:t>
      </w:r>
    </w:p>
    <w:p>
      <w:pPr>
        <w:numPr>
          <w:ilvl w:val="0"/>
          <w:numId w:val="1012"/>
        </w:numPr>
        <w:pStyle w:val="Compact"/>
      </w:pPr>
      <w:r>
        <w:t xml:space="preserve">data useability</w:t>
      </w:r>
      <w:hyperlink w:anchor="fn11">
        <w:r>
          <w:rPr>
            <w:rStyle w:val="Hyperlink"/>
          </w:rPr>
          <w:t xml:space="preserve">11</w:t>
        </w:r>
      </w:hyperlink>
      <w:r>
        <w:t xml:space="preserve">,</w:t>
      </w:r>
      <w:r>
        <w:t xml:space="preserve"> </w:t>
      </w:r>
    </w:p>
    <w:p>
      <w:pPr>
        <w:numPr>
          <w:ilvl w:val="0"/>
          <w:numId w:val="1012"/>
        </w:numPr>
        <w:pStyle w:val="Compact"/>
      </w:pPr>
      <w:r>
        <w:t xml:space="preserve">data ecosystem awareness &amp; understanding, and</w:t>
      </w:r>
      <w:r>
        <w:t xml:space="preserve"> </w:t>
      </w:r>
    </w:p>
    <w:p>
      <w:pPr>
        <w:numPr>
          <w:ilvl w:val="0"/>
          <w:numId w:val="1012"/>
        </w:numPr>
        <w:pStyle w:val="Compact"/>
      </w:pPr>
      <w:r>
        <w:t xml:space="preserve">data ecosystem negotiability.</w:t>
      </w:r>
    </w:p>
    <w:p>
      <w:pPr>
        <w:pStyle w:val="FirstParagraph"/>
      </w:pPr>
      <w:r>
        <w:t xml:space="preserve">Sections III-V of the thesis took this body of work much further than a traditional HCI PhD, drawing on the author’s experiences with the practical pursuit of better Human Data Relations in four different real-world academic and industrial project settings [see</w:t>
      </w:r>
      <w:r>
        <w:t xml:space="preserve"> </w:t>
      </w:r>
      <w:hyperlink w:anchor="section-iv-intro">
        <w:r>
          <w:rPr>
            <w:rStyle w:val="Hyperlink"/>
          </w:rPr>
          <w:t xml:space="preserve">Section IV Introduction</w:t>
        </w:r>
      </w:hyperlink>
      <w:r>
        <w:t xml:space="preserve">]. Through additional insights, designs and implementation strategies [</w:t>
      </w:r>
      <w:hyperlink w:anchor="chapter-9">
        <w:r>
          <w:rPr>
            <w:rStyle w:val="Hyperlink"/>
          </w:rPr>
          <w:t xml:space="preserve">Chapter 9</w:t>
        </w:r>
      </w:hyperlink>
      <w:r>
        <w:t xml:space="preserve">], the thesis offers not just a theoretical frame for this area of research, but clear and actionable Principles [</w:t>
      </w:r>
      <w:hyperlink w:anchor="Xd679968a7da96b70d4b4612e43ae2e670bb068a">
        <w:r>
          <w:rPr>
            <w:rStyle w:val="Hyperlink"/>
          </w:rPr>
          <w:t xml:space="preserve">10.1</w:t>
        </w:r>
      </w:hyperlink>
      <w:r>
        <w:t xml:space="preserve">] that could be immediately explored by researchers and innovators - this thesis becomes</w:t>
      </w:r>
      <w:r>
        <w:t xml:space="preserve"> </w:t>
      </w:r>
      <w:r>
        <w:rPr>
          <w:bCs/>
          <w:b/>
        </w:rPr>
        <w:t xml:space="preserve">an anthology of reference material, designs and strategies for HDR reform</w:t>
      </w:r>
      <w:r>
        <w:t xml:space="preserve">. This practical contribution of the thesis is delivered in four distinct parts:</w:t>
      </w:r>
    </w:p>
    <w:p>
      <w:pPr>
        <w:numPr>
          <w:ilvl w:val="0"/>
          <w:numId w:val="1013"/>
        </w:numPr>
        <w:pStyle w:val="Compact"/>
      </w:pPr>
      <w:r>
        <w:t xml:space="preserve">first, a</w:t>
      </w:r>
      <w:r>
        <w:t xml:space="preserve"> </w:t>
      </w:r>
      <w:r>
        <w:rPr>
          <w:bCs/>
          <w:b/>
        </w:rPr>
        <w:t xml:space="preserve">map of the landscape for improving HDR</w:t>
      </w:r>
      <w:r>
        <w:t xml:space="preserve"> </w:t>
      </w:r>
      <w:r>
        <w:t xml:space="preserve">[</w:t>
      </w:r>
      <w:hyperlink w:anchor="chapter-8">
        <w:r>
          <w:rPr>
            <w:rStyle w:val="Hyperlink"/>
          </w:rPr>
          <w:t xml:space="preserve">Chapter 8</w:t>
        </w:r>
      </w:hyperlink>
      <w:r>
        <w:t xml:space="preserve">], outlining the key</w:t>
      </w:r>
      <w:r>
        <w:t xml:space="preserve"> </w:t>
      </w:r>
      <w:r>
        <w:rPr>
          <w:bCs/>
          <w:b/>
        </w:rPr>
        <w:t xml:space="preserve">obstacles</w:t>
      </w:r>
      <w:r>
        <w:t xml:space="preserve"> </w:t>
      </w:r>
      <w:r>
        <w:t xml:space="preserve">that are likely be faced in pursuing HDR objectives,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13"/>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013"/>
        </w:numPr>
        <w:pStyle w:val="Compact"/>
      </w:pPr>
      <w:r>
        <w:t xml:space="preserve">third, through</w:t>
      </w:r>
      <w:r>
        <w:t xml:space="preserve"> </w:t>
      </w:r>
      <w:r>
        <w:rPr>
          <w:bCs/>
          <w:b/>
        </w:rPr>
        <w:t xml:space="preserve">a series of Principles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principles">
        <w:r>
          <w:rPr>
            <w:rStyle w:val="Hyperlink"/>
          </w:rPr>
          <w:t xml:space="preserve">Principles</w:t>
        </w:r>
      </w:hyperlink>
      <w:r>
        <w:t xml:space="preserve">]; and</w:t>
      </w:r>
    </w:p>
    <w:p>
      <w:pPr>
        <w:numPr>
          <w:ilvl w:val="0"/>
          <w:numId w:val="1013"/>
        </w:numPr>
        <w:pStyle w:val="Compact"/>
      </w:pPr>
      <w:r>
        <w:t xml:space="preserve">fourth,</w:t>
      </w:r>
      <w:r>
        <w:t xml:space="preserve"> </w:t>
      </w:r>
      <w:r>
        <w:rPr>
          <w:bCs/>
          <w:b/>
        </w:rPr>
        <w:t xml:space="preserve">an HDR index</w:t>
      </w:r>
      <w:r>
        <w:t xml:space="preserve">, located</w:t>
      </w:r>
      <w:r>
        <w:t xml:space="preserve"> </w:t>
      </w:r>
      <w:hyperlink w:anchor="hdr-index">
        <w:r>
          <w:rPr>
            <w:rStyle w:val="Hyperlink"/>
          </w:rPr>
          <w:t xml:space="preserve">after the Appendices</w:t>
        </w:r>
      </w:hyperlink>
      <w:r>
        <w:t xml:space="preserve">, making the novel findings, insights, obstacles, approaches and strategies of this thesis easy to locate, accompanied by a glossary explaining existing terms and nomenclature this thesis makes use of.</w:t>
      </w:r>
    </w:p>
    <w:p>
      <w:pPr>
        <w:pStyle w:val="FirstParagraph"/>
      </w:pPr>
      <w:r>
        <w:t xml:space="preserve">Through its Case Studies, this thesis has made additional contributions to the fields of Early Help and GDPR Data Access, as detailed in</w:t>
      </w:r>
      <w:r>
        <w:t xml:space="preserve"> </w:t>
      </w:r>
      <w:hyperlink w:anchor="X114b9dabe64741f5700c676da07d4182530a754">
        <w:r>
          <w:rPr>
            <w:rStyle w:val="Hyperlink"/>
          </w:rPr>
          <w:t xml:space="preserve">1.2</w:t>
        </w:r>
      </w:hyperlink>
      <w:r>
        <w:t xml:space="preserve">, as well as more generally to any research or design context that deals with how individuals or service providers relate to personal data. The work of this thesis has had demonstrable impact, with methodologies and models from this work having been adopted in projects in the European Union and in the UK. Over a dozen publications, workshops and presentations of the work in this thesis have been delivered [</w:t>
      </w:r>
      <w:hyperlink w:anchor="Xafe7d50c10921ac0f9f899939231a737e7dc2b2">
        <w:r>
          <w:rPr>
            <w:rStyle w:val="Hyperlink"/>
          </w:rPr>
          <w:t xml:space="preserve">1.3</w:t>
        </w:r>
      </w:hyperlink>
      <w:r>
        <w:t xml:space="preserve">], and the research contributed value to real-world industrial projects at BBC R&amp;D in the UK, Hestia.ai in Switzerland and their client Sitra in Finland, through the sharing of the design Principles and the adoption of models of personal data and methods for data interviewing pioneered here.</w:t>
      </w:r>
    </w:p>
    <w:p>
      <w:pPr>
        <w:pStyle w:val="BodyText"/>
      </w:pPr>
      <w:r>
        <w:t xml:space="preserve">In answer to the research gap identified in</w:t>
      </w:r>
      <w:r>
        <w:t xml:space="preserve"> </w:t>
      </w:r>
      <w:hyperlink w:anchor="Xda596d45f9d6516efc24f110a7c87475a984016">
        <w:r>
          <w:rPr>
            <w:rStyle w:val="Hyperlink"/>
          </w:rPr>
          <w:t xml:space="preserve">2.2.5</w:t>
        </w:r>
      </w:hyperlink>
      <w:r>
        <w:t xml:space="preserve">, this thesis has examined the role of personal data in a</w:t>
      </w:r>
      <w:r>
        <w:t xml:space="preserve"> </w:t>
      </w:r>
      <w:r>
        <w:t xml:space="preserve">‘</w:t>
      </w:r>
      <w:r>
        <w:t xml:space="preserve">whole life</w:t>
      </w:r>
      <w:r>
        <w:t xml:space="preserve">’</w:t>
      </w:r>
      <w:r>
        <w:t xml:space="preserve"> </w:t>
      </w:r>
      <w:r>
        <w:t xml:space="preserve">context. The insights and Principles of this thesis show that personal data should not be an owned commodity or viewed as something static or inert. It is reflective of something real, both in the value it can offer to people’s lives and in the role it can play as their proxy in service relationships. Personal data is ultimately an aspect of the human, and as such to separate or extricate it from that human without their involvement or consent is a violation of individual trust, liberty and respect. Personal data is not a commodity. It is part of a fundamental human right to private life, and this privacy is being regularly violated by the treatment of personal data without sufficient consideration to the individual behind the data. The growth of systems which view data as a resource to be mined, a thing to be transacted with, overlook these moral and socially important human values. It is critical that individuals are given greater agency and control over their personal data, and this thesis has shown that current laws and regulations are, so far, inadequate for this purpose. This research has provided a greater understanding of what is lacking, and what might be done, enabling to move forward in this space.</w:t>
      </w:r>
    </w:p>
    <w:p>
      <w:pPr>
        <w:pStyle w:val="BodyText"/>
      </w:pPr>
      <w:r>
        <w:t xml:space="preserve">Through the grounded and detailed references and examples in Section IV, this work moves beyond conducting research to understand human personal data wants, and</w:t>
      </w:r>
      <w:r>
        <w:t xml:space="preserve"> </w:t>
      </w:r>
      <w:r>
        <w:rPr>
          <w:bCs/>
          <w:b/>
        </w:rPr>
        <w:t xml:space="preserve">sets the scene for an progressive and activist agenda</w:t>
      </w:r>
      <w:r>
        <w:t xml:space="preserve"> </w:t>
      </w:r>
      <w:r>
        <w:t xml:space="preserve">to take action in service of those wants, with the objective to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ba2028c26fffbc171c5b450f0a203ea5314ab51">
        <w:r>
          <w:rPr>
            <w:rStyle w:val="Hyperlink"/>
          </w:rPr>
          <w:t xml:space="preserve">7.6</w:t>
        </w:r>
      </w:hyperlink>
      <w:r>
        <w:t xml:space="preserve">]. Armed with these insights, practitioners of HDR reform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society—in short, a better world for us all.</w:t>
      </w:r>
    </w:p>
    <w:p>
      <w:r>
        <w:pict>
          <v:rect style="width:0;height:1.5pt" o:hralign="center" o:hrstd="t" o:hr="t"/>
        </w:pict>
      </w:r>
    </w:p>
    <w:bookmarkEnd w:id="68"/>
    <w:bookmarkEnd w:id="69"/>
    <w:bookmarkStart w:id="255" w:name="bibliography"/>
    <w:p>
      <w:pPr>
        <w:pStyle w:val="Heading1"/>
      </w:pPr>
      <w:r>
        <w:t xml:space="preserve">Bibliography</w:t>
      </w:r>
    </w:p>
    <w:bookmarkStart w:id="254" w:name="refs"/>
    <w:bookmarkStart w:id="71" w:name="ref-ico2022bases"/>
    <w:p>
      <w:pPr>
        <w:pStyle w:val="Bibliography"/>
      </w:pPr>
      <w:r>
        <w:t xml:space="preserve">‘A guide to lawful basis’</w:t>
      </w:r>
      <w:r>
        <w:t xml:space="preserve"> </w:t>
      </w:r>
      <w:r>
        <w:t xml:space="preserve">(2022)</w:t>
      </w:r>
      <w:r>
        <w:t xml:space="preserve"> </w:t>
      </w:r>
      <w:r>
        <w:rPr>
          <w:iCs/>
          <w:i/>
        </w:rPr>
        <w:t xml:space="preserve">Information Commissioner’s Office</w:t>
      </w:r>
      <w:r>
        <w:t xml:space="preserve">. available at:</w:t>
      </w:r>
      <w:r>
        <w:t xml:space="preserve"> </w:t>
      </w:r>
      <w:hyperlink r:id="rId70">
        <w:r>
          <w:rPr>
            <w:rStyle w:val="Hyperlink"/>
          </w:rPr>
          <w:t xml:space="preserve">https://ico.org.uk/for-organisations/uk-gdpr-guidance-and-resources/lawful-basis/a-guide-to-lawful-basis/#what</w:t>
        </w:r>
      </w:hyperlink>
      <w:r>
        <w:t xml:space="preserve"> </w:t>
      </w:r>
      <w:r>
        <w:t xml:space="preserve">(accessed: 21 May 2023).</w:t>
      </w:r>
    </w:p>
    <w:bookmarkEnd w:id="71"/>
    <w:bookmarkStart w:id="73"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72">
        <w:r>
          <w:rPr>
            <w:rStyle w:val="Hyperlink"/>
          </w:rPr>
          <w:t xml:space="preserve">http://dx.doi.org/10.1145/2370216.2370222</w:t>
        </w:r>
      </w:hyperlink>
      <w:r>
        <w:t xml:space="preserve">.</w:t>
      </w:r>
    </w:p>
    <w:bookmarkEnd w:id="73"/>
    <w:bookmarkStart w:id="74" w:name="ref-alexander2022"/>
    <w:p>
      <w:pPr>
        <w:pStyle w:val="Bibliography"/>
      </w:pPr>
      <w:r>
        <w:t xml:space="preserve">Alexander, J., Conrad, A. and Eno, B. (2022)</w:t>
      </w:r>
      <w:r>
        <w:t xml:space="preserve"> </w:t>
      </w:r>
      <w:r>
        <w:rPr>
          <w:iCs/>
          <w:i/>
        </w:rPr>
        <w:t xml:space="preserve">Citizens: Why the key to fixing everything is all of us</w:t>
      </w:r>
      <w:r>
        <w:t xml:space="preserve">. Canbury Press.</w:t>
      </w:r>
    </w:p>
    <w:bookmarkEnd w:id="74"/>
    <w:bookmarkStart w:id="7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75"/>
    <w:bookmarkStart w:id="77"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76">
        <w:r>
          <w:rPr>
            <w:rStyle w:val="Hyperlink"/>
          </w:rPr>
          <w:t xml:space="preserve">https://medium.com/swlh/java-passing-by-value-or-passing-by-reference-c75e312069ed</w:t>
        </w:r>
      </w:hyperlink>
      <w:r>
        <w:t xml:space="preserve">.</w:t>
      </w:r>
    </w:p>
    <w:bookmarkEnd w:id="77"/>
    <w:bookmarkStart w:id="79"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78">
        <w:r>
          <w:rPr>
            <w:rStyle w:val="Hyperlink"/>
          </w:rPr>
          <w:t xml:space="preserve">https://www.geeksforgeeks.org/naive-bayes-classifiers/</w:t>
        </w:r>
      </w:hyperlink>
      <w:r>
        <w:t xml:space="preserve">.</w:t>
      </w:r>
    </w:p>
    <w:bookmarkEnd w:id="79"/>
    <w:bookmarkStart w:id="80" w:name="ref-baker2018"/>
    <w:p>
      <w:pPr>
        <w:pStyle w:val="Bibliography"/>
      </w:pPr>
      <w:r>
        <w:t xml:space="preserve">Baker, K. S. and Karasti, H. (2018)</w:t>
      </w:r>
      <w:r>
        <w:t xml:space="preserve"> </w:t>
      </w:r>
      <w:r>
        <w:t xml:space="preserve">‘Data care and its politics: Designing for local collective data management as a neglected thing’</w:t>
      </w:r>
      <w:r>
        <w:t xml:space="preserve">, in</w:t>
      </w:r>
      <w:r>
        <w:t xml:space="preserve"> </w:t>
      </w:r>
      <w:r>
        <w:rPr>
          <w:iCs/>
          <w:i/>
        </w:rPr>
        <w:t xml:space="preserve">Proceedings of the 15th participatory design conference: Full papers-volume 1</w:t>
      </w:r>
      <w:r>
        <w:t xml:space="preserve">, pp. 1–12.</w:t>
      </w:r>
    </w:p>
    <w:bookmarkEnd w:id="80"/>
    <w:bookmarkStart w:id="8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81">
        <w:r>
          <w:rPr>
            <w:rStyle w:val="Hyperlink"/>
          </w:rPr>
          <w:t xml:space="preserve">10.1126/SCIENCE.AAA1160/SUPPL_FILE/PAPV2.PDF</w:t>
        </w:r>
      </w:hyperlink>
      <w:r>
        <w:t xml:space="preserve">.</w:t>
      </w:r>
    </w:p>
    <w:bookmarkEnd w:id="82"/>
    <w:bookmarkStart w:id="8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83">
        <w:r>
          <w:rPr>
            <w:rStyle w:val="Hyperlink"/>
          </w:rPr>
          <w:t xml:space="preserve">https://www.freecodecamp.org/news/an-introduction-to-solid-tim-berners-lees-new-re-decentralized-web-25d6b78c523b/</w:t>
        </w:r>
      </w:hyperlink>
      <w:r>
        <w:t xml:space="preserve">.</w:t>
      </w:r>
    </w:p>
    <w:bookmarkEnd w:id="84"/>
    <w:bookmarkStart w:id="8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85"/>
    <w:bookmarkStart w:id="86" w:name="ref-beghelli2019"/>
    <w:p>
      <w:pPr>
        <w:pStyle w:val="Bibliography"/>
      </w:pPr>
      <w:r>
        <w:t xml:space="preserve">Beghelli, A., Huerta-Cánepa, G. and Segal, R. (2019)</w:t>
      </w:r>
      <w:r>
        <w:t xml:space="preserve"> </w:t>
      </w:r>
      <w:r>
        <w:t xml:space="preserve">‘Data materialisation: A new undergraduate course for a data driven society’</w:t>
      </w:r>
      <w:r>
        <w:t xml:space="preserve">, in</w:t>
      </w:r>
      <w:r>
        <w:t xml:space="preserve"> </w:t>
      </w:r>
      <w:r>
        <w:rPr>
          <w:iCs/>
          <w:i/>
        </w:rPr>
        <w:t xml:space="preserve">Proceedings of the design society: International conference on engineering design</w:t>
      </w:r>
      <w:r>
        <w:t xml:space="preserve">. Cambridge University Press (1), pp. 2061–2070.</w:t>
      </w:r>
    </w:p>
    <w:bookmarkEnd w:id="86"/>
    <w:bookmarkStart w:id="88"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87">
        <w:r>
          <w:rPr>
            <w:rStyle w:val="Hyperlink"/>
          </w:rPr>
          <w:t xml:space="preserve">10.1002/asi.10283</w:t>
        </w:r>
      </w:hyperlink>
      <w:r>
        <w:t xml:space="preserve">.</w:t>
      </w:r>
    </w:p>
    <w:bookmarkEnd w:id="88"/>
    <w:bookmarkStart w:id="90"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89">
        <w:r>
          <w:rPr>
            <w:rStyle w:val="Hyperlink"/>
          </w:rPr>
          <w:t xml:space="preserve">https://inrupt.com/solid/</w:t>
        </w:r>
      </w:hyperlink>
      <w:r>
        <w:t xml:space="preserve">.</w:t>
      </w:r>
    </w:p>
    <w:bookmarkEnd w:id="90"/>
    <w:bookmarkStart w:id="92"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91">
        <w:r>
          <w:rPr>
            <w:rStyle w:val="Hyperlink"/>
          </w:rPr>
          <w:t xml:space="preserve">https://jstor.org/stable/10.2307/26059207</w:t>
        </w:r>
      </w:hyperlink>
      <w:r>
        <w:t xml:space="preserve">.</w:t>
      </w:r>
    </w:p>
    <w:bookmarkEnd w:id="92"/>
    <w:bookmarkStart w:id="94"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93">
        <w:r>
          <w:rPr>
            <w:rStyle w:val="Hyperlink"/>
          </w:rPr>
          <w:t xml:space="preserve">10.1145/2901790.2901855</w:t>
        </w:r>
      </w:hyperlink>
      <w:r>
        <w:t xml:space="preserve">.</w:t>
      </w:r>
    </w:p>
    <w:bookmarkEnd w:id="94"/>
    <w:bookmarkStart w:id="96"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95">
        <w:r>
          <w:rPr>
            <w:rStyle w:val="Hyperlink"/>
          </w:rPr>
          <w:t xml:space="preserve">http://radar.oreilly.com/2011/07/why-files-need-to-die.html</w:t>
        </w:r>
      </w:hyperlink>
      <w:r>
        <w:t xml:space="preserve">.</w:t>
      </w:r>
    </w:p>
    <w:bookmarkEnd w:id="96"/>
    <w:bookmarkStart w:id="98"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97">
        <w:r>
          <w:rPr>
            <w:rStyle w:val="Hyperlink"/>
          </w:rPr>
          <w:t xml:space="preserve">https://eprints.ncl.ac.uk/273832</w:t>
        </w:r>
      </w:hyperlink>
      <w:r>
        <w:t xml:space="preserve">.</w:t>
      </w:r>
    </w:p>
    <w:bookmarkEnd w:id="98"/>
    <w:bookmarkStart w:id="100" w:name="ref-bowyer2018grandvision"/>
    <w:p>
      <w:pPr>
        <w:pStyle w:val="Bibliography"/>
      </w:pPr>
      <w:r>
        <w:t xml:space="preserve">Bowyer, A. (2018)</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99">
        <w:r>
          <w:rPr>
            <w:rStyle w:val="Hyperlink"/>
          </w:rPr>
          <w:t xml:space="preserve">https://eprints.ncl.ac.uk/273826</w:t>
        </w:r>
      </w:hyperlink>
      <w:r>
        <w:t xml:space="preserve">.</w:t>
      </w:r>
    </w:p>
    <w:bookmarkEnd w:id="100"/>
    <w:bookmarkStart w:id="10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1">
        <w:r>
          <w:rPr>
            <w:rStyle w:val="Hyperlink"/>
          </w:rPr>
          <w:t xml:space="preserve">10.1145/3173574.3173710</w:t>
        </w:r>
      </w:hyperlink>
      <w:r>
        <w:t xml:space="preserve">.</w:t>
      </w:r>
    </w:p>
    <w:bookmarkEnd w:id="102"/>
    <w:bookmarkStart w:id="104"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03">
        <w:r>
          <w:rPr>
            <w:rStyle w:val="Hyperlink"/>
          </w:rPr>
          <w:t xml:space="preserve">https://bit.ly/bbc-pds-research-bowyer</w:t>
        </w:r>
      </w:hyperlink>
      <w:r>
        <w:t xml:space="preserve">.</w:t>
      </w:r>
    </w:p>
    <w:bookmarkEnd w:id="104"/>
    <w:bookmarkStart w:id="106"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05">
        <w:r>
          <w:rPr>
            <w:rStyle w:val="Hyperlink"/>
          </w:rPr>
          <w:t xml:space="preserve">10.5281/zenodo.6554177</w:t>
        </w:r>
      </w:hyperlink>
      <w:r>
        <w:t xml:space="preserve">.</w:t>
      </w:r>
    </w:p>
    <w:bookmarkEnd w:id="106"/>
    <w:bookmarkStart w:id="107"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07"/>
    <w:bookmarkStart w:id="109" w:name="ref-bradbury2019"/>
    <w:p>
      <w:pPr>
        <w:pStyle w:val="Bibliography"/>
      </w:pPr>
      <w:r>
        <w:t xml:space="preserve">Bradbury, D. (2019)</w:t>
      </w:r>
      <w:r>
        <w:t xml:space="preserve"> </w:t>
      </w:r>
      <w:r>
        <w:t xml:space="preserve">‘You can probably be identified from your anonymized data’</w:t>
      </w:r>
      <w:r>
        <w:t xml:space="preserve">,</w:t>
      </w:r>
      <w:r>
        <w:t xml:space="preserve"> </w:t>
      </w:r>
      <w:r>
        <w:rPr>
          <w:iCs/>
          <w:i/>
        </w:rPr>
        <w:t xml:space="preserve">Naked Security by Sophos</w:t>
      </w:r>
      <w:r>
        <w:t xml:space="preserve">. available at:</w:t>
      </w:r>
      <w:r>
        <w:t xml:space="preserve"> </w:t>
      </w:r>
      <w:hyperlink r:id="rId108">
        <w:r>
          <w:rPr>
            <w:rStyle w:val="Hyperlink"/>
          </w:rPr>
          <w:t xml:space="preserve">https://nakedsecurity.sophos.com/2019/07/25/youre-special-after-alland-thats-bad-for-your-privacy/</w:t>
        </w:r>
      </w:hyperlink>
      <w:r>
        <w:t xml:space="preserve">.</w:t>
      </w:r>
    </w:p>
    <w:bookmarkEnd w:id="109"/>
    <w:bookmarkStart w:id="111"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0">
        <w:r>
          <w:rPr>
            <w:rStyle w:val="Hyperlink"/>
          </w:rPr>
          <w:t xml:space="preserve">10.1145/1011870.1011885</w:t>
        </w:r>
      </w:hyperlink>
      <w:r>
        <w:t xml:space="preserve">.</w:t>
      </w:r>
    </w:p>
    <w:bookmarkEnd w:id="111"/>
    <w:bookmarkStart w:id="113"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2">
        <w:r>
          <w:rPr>
            <w:rStyle w:val="Hyperlink"/>
          </w:rPr>
          <w:t xml:space="preserve">https://www.maketecheasier.com/which-email-providers-scanning-emails/</w:t>
        </w:r>
      </w:hyperlink>
      <w:r>
        <w:t xml:space="preserve"> </w:t>
      </w:r>
      <w:r>
        <w:t xml:space="preserve">(accessed: 21 August 2022).</w:t>
      </w:r>
    </w:p>
    <w:bookmarkEnd w:id="113"/>
    <w:bookmarkStart w:id="11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14">
        <w:r>
          <w:rPr>
            <w:rStyle w:val="Hyperlink"/>
          </w:rPr>
          <w:t xml:space="preserve">10.1007/s12394-010-0062-y</w:t>
        </w:r>
      </w:hyperlink>
      <w:r>
        <w:t xml:space="preserve">.</w:t>
      </w:r>
    </w:p>
    <w:bookmarkEnd w:id="115"/>
    <w:bookmarkStart w:id="11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16"/>
    <w:bookmarkStart w:id="117"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7"/>
    <w:bookmarkStart w:id="118"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8"/>
    <w:bookmarkStart w:id="119" w:name="ref-colcelli2019"/>
    <w:p>
      <w:pPr>
        <w:pStyle w:val="Bibliography"/>
      </w:pPr>
      <w:r>
        <w:t xml:space="preserve">Colcelli, V. (2019)</w:t>
      </w:r>
      <w:r>
        <w:t xml:space="preserve"> </w:t>
      </w:r>
      <w:r>
        <w:t xml:space="preserve">‘Joint controller agreement under gdpr’</w:t>
      </w:r>
      <w:r>
        <w:t xml:space="preserve">,</w:t>
      </w:r>
      <w:r>
        <w:t xml:space="preserve"> </w:t>
      </w:r>
      <w:r>
        <w:rPr>
          <w:iCs/>
          <w:i/>
        </w:rPr>
        <w:t xml:space="preserve">EU and comparative law issues and challenges series (ECLIC)</w:t>
      </w:r>
      <w:r>
        <w:t xml:space="preserve">, 3, pp. 1030–1047.</w:t>
      </w:r>
    </w:p>
    <w:bookmarkEnd w:id="119"/>
    <w:bookmarkStart w:id="121" w:name="ref-costanzaChock2020"/>
    <w:p>
      <w:pPr>
        <w:pStyle w:val="Bibliography"/>
      </w:pPr>
      <w:r>
        <w:t xml:space="preserve">Costanza-Chock, S. (2020)</w:t>
      </w:r>
      <w:r>
        <w:t xml:space="preserve"> </w:t>
      </w:r>
      <w:r>
        <w:t xml:space="preserve">‘Design practices: "Nothing about us without us"’</w:t>
      </w:r>
      <w:r>
        <w:t xml:space="preserve">,</w:t>
      </w:r>
      <w:r>
        <w:t xml:space="preserve"> </w:t>
      </w:r>
      <w:r>
        <w:rPr>
          <w:iCs/>
          <w:i/>
        </w:rPr>
        <w:t xml:space="preserve">Design Justice</w:t>
      </w:r>
      <w:r>
        <w:t xml:space="preserve">. MIT Press. available at:</w:t>
      </w:r>
      <w:r>
        <w:t xml:space="preserve"> </w:t>
      </w:r>
      <w:hyperlink r:id="rId120">
        <w:r>
          <w:rPr>
            <w:rStyle w:val="Hyperlink"/>
          </w:rPr>
          <w:t xml:space="preserve">https://designjustice.mitpress.mit.edu/pub/cfohnud7/release/4</w:t>
        </w:r>
      </w:hyperlink>
      <w:r>
        <w:t xml:space="preserve"> </w:t>
      </w:r>
      <w:r>
        <w:t xml:space="preserve">(accessed: 24 May 2023).</w:t>
      </w:r>
    </w:p>
    <w:bookmarkEnd w:id="121"/>
    <w:bookmarkStart w:id="122" w:name="ref-coulton2019"/>
    <w:p>
      <w:pPr>
        <w:pStyle w:val="Bibliography"/>
      </w:pPr>
      <w:r>
        <w:t xml:space="preserve">Coulton, P. and Lindley, J. G. (2019)</w:t>
      </w:r>
      <w:r>
        <w:t xml:space="preserve"> </w:t>
      </w:r>
      <w:r>
        <w:t xml:space="preserve">‘More-than human centred design: Considering other things’</w:t>
      </w:r>
      <w:r>
        <w:t xml:space="preserve">,</w:t>
      </w:r>
      <w:r>
        <w:t xml:space="preserve"> </w:t>
      </w:r>
      <w:r>
        <w:rPr>
          <w:iCs/>
          <w:i/>
        </w:rPr>
        <w:t xml:space="preserve">The Design Journal</w:t>
      </w:r>
      <w:r>
        <w:t xml:space="preserve">. Taylor &amp; Francis, 22(4), pp. 463–481.</w:t>
      </w:r>
    </w:p>
    <w:bookmarkEnd w:id="122"/>
    <w:bookmarkStart w:id="124" w:name="ref-cowburn2023"/>
    <w:p>
      <w:pPr>
        <w:pStyle w:val="Bibliography"/>
      </w:pPr>
      <w:r>
        <w:t xml:space="preserve">Cowburn, P. (2023)</w:t>
      </w:r>
      <w:r>
        <w:t xml:space="preserve"> </w:t>
      </w:r>
      <w:r>
        <w:t xml:space="preserve">‘26 civil society groups call on government to scrap data protection and digital information (DPDI) bill’</w:t>
      </w:r>
      <w:r>
        <w:t xml:space="preserve">,</w:t>
      </w:r>
      <w:r>
        <w:t xml:space="preserve"> </w:t>
      </w:r>
      <w:r>
        <w:rPr>
          <w:iCs/>
          <w:i/>
        </w:rPr>
        <w:t xml:space="preserve">Open Rights Group Press Releases</w:t>
      </w:r>
      <w:r>
        <w:t xml:space="preserve">. available at:</w:t>
      </w:r>
      <w:r>
        <w:t xml:space="preserve"> </w:t>
      </w:r>
      <w:hyperlink r:id="rId123">
        <w:r>
          <w:rPr>
            <w:rStyle w:val="Hyperlink"/>
          </w:rPr>
          <w:t xml:space="preserve">https://www.openrightsgroup.org/press-releases/26-civil-society-groups-call-on-government-to-scrap-data-protection-and-digital-information-dpdi-bill/</w:t>
        </w:r>
      </w:hyperlink>
      <w:r>
        <w:t xml:space="preserve">.</w:t>
      </w:r>
    </w:p>
    <w:bookmarkEnd w:id="124"/>
    <w:bookmarkStart w:id="126"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5">
        <w:r>
          <w:rPr>
            <w:rStyle w:val="Hyperlink"/>
          </w:rPr>
          <w:t xml:space="preserve">https://web.archive.org/web/20120128050842/http://gigaom.com/2009/04/24/why-email-clients-need-to-change/</w:t>
        </w:r>
      </w:hyperlink>
      <w:r>
        <w:t xml:space="preserve">.</w:t>
      </w:r>
    </w:p>
    <w:bookmarkEnd w:id="126"/>
    <w:bookmarkStart w:id="12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7">
        <w:r>
          <w:rPr>
            <w:rStyle w:val="Hyperlink"/>
          </w:rPr>
          <w:t xml:space="preserve">https://uxdx.com/blog/data-enabled-design/</w:t>
        </w:r>
      </w:hyperlink>
      <w:r>
        <w:t xml:space="preserve">.</w:t>
      </w:r>
    </w:p>
    <w:bookmarkEnd w:id="128"/>
    <w:bookmarkStart w:id="13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129">
        <w:r>
          <w:rPr>
            <w:rStyle w:val="Hyperlink"/>
          </w:rPr>
          <w:t xml:space="preserve">https://medium.com/personaldata-io/facebook-forced-to-disclose-more-information-about-its-ad-targeting-7e6c0127722</w:t>
        </w:r>
      </w:hyperlink>
      <w:r>
        <w:t xml:space="preserve">.</w:t>
      </w:r>
    </w:p>
    <w:bookmarkEnd w:id="130"/>
    <w:bookmarkStart w:id="13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131">
        <w:r>
          <w:rPr>
            <w:rStyle w:val="Hyperlink"/>
          </w:rPr>
          <w:t xml:space="preserve">https://www.youtube.com/watch?v=pGcnK_KraXs</w:t>
        </w:r>
      </w:hyperlink>
      <w:r>
        <w:t xml:space="preserve">.</w:t>
      </w:r>
    </w:p>
    <w:bookmarkEnd w:id="132"/>
    <w:bookmarkStart w:id="133" w:name="ref-edwards2019"/>
    <w:p>
      <w:pPr>
        <w:pStyle w:val="Bibliography"/>
      </w:pPr>
      <w:r>
        <w:t xml:space="preserve">Edwards, L.</w:t>
      </w:r>
      <w:r>
        <w:t xml:space="preserve"> </w:t>
      </w:r>
      <w:r>
        <w:rPr>
          <w:iCs/>
          <w:i/>
        </w:rPr>
        <w:t xml:space="preserve">et al.</w:t>
      </w:r>
      <w:r>
        <w:t xml:space="preserve"> </w:t>
      </w:r>
      <w:r>
        <w:t xml:space="preserve">(2019)</w:t>
      </w:r>
      <w:r>
        <w:t xml:space="preserve"> </w:t>
      </w:r>
      <w:r>
        <w:t xml:space="preserve">‘Data subjects as data controllers: A fashion (able) concept’</w:t>
      </w:r>
      <w:r>
        <w:t xml:space="preserve">,</w:t>
      </w:r>
      <w:r>
        <w:t xml:space="preserve"> </w:t>
      </w:r>
      <w:r>
        <w:rPr>
          <w:iCs/>
          <w:i/>
        </w:rPr>
        <w:t xml:space="preserve">Internet Policy Review</w:t>
      </w:r>
      <w:r>
        <w:t xml:space="preserve">, 13.</w:t>
      </w:r>
    </w:p>
    <w:bookmarkEnd w:id="133"/>
    <w:bookmarkStart w:id="134" w:name="ref-elsden2016"/>
    <w:p>
      <w:pPr>
        <w:pStyle w:val="Bibliography"/>
      </w:pPr>
      <w:r>
        <w:t xml:space="preserve">Elsden, C.</w:t>
      </w:r>
      <w:r>
        <w:t xml:space="preserve"> </w:t>
      </w:r>
      <w:r>
        <w:rPr>
          <w:iCs/>
          <w:i/>
        </w:rPr>
        <w:t xml:space="preserve">et al.</w:t>
      </w:r>
      <w:r>
        <w:t xml:space="preserve"> </w:t>
      </w:r>
      <w:r>
        <w:t xml:space="preserve">(2016)</w:t>
      </w:r>
      <w:r>
        <w:t xml:space="preserve"> </w:t>
      </w:r>
      <w:r>
        <w:t xml:space="preserve">‘Metadating: Exploring the romance and future of personal data’</w:t>
      </w:r>
      <w:r>
        <w:t xml:space="preserve">, in</w:t>
      </w:r>
      <w:r>
        <w:t xml:space="preserve"> </w:t>
      </w:r>
      <w:r>
        <w:rPr>
          <w:iCs/>
          <w:i/>
        </w:rPr>
        <w:t xml:space="preserve">Proceedings of the 2016 chi conference on human factors in computing systems</w:t>
      </w:r>
      <w:r>
        <w:t xml:space="preserve">, pp. 685–698.</w:t>
      </w:r>
    </w:p>
    <w:bookmarkEnd w:id="134"/>
    <w:bookmarkStart w:id="13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135">
        <w:r>
          <w:rPr>
            <w:rStyle w:val="Hyperlink"/>
          </w:rPr>
          <w:t xml:space="preserve">https://themarkup.org/citizen-browser/2021/09/21/facebook-rolls-out-news-feed-change-that-blocks-watchdogs-from-gathering-data</w:t>
        </w:r>
      </w:hyperlink>
      <w:r>
        <w:t xml:space="preserve">.</w:t>
      </w:r>
    </w:p>
    <w:bookmarkEnd w:id="136"/>
    <w:bookmarkStart w:id="13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37">
        <w:r>
          <w:rPr>
            <w:rStyle w:val="Hyperlink"/>
          </w:rPr>
          <w:t xml:space="preserve">https://www.bbc.co.uk/rd/blog/2021-07-talking-about-human-values-and-design</w:t>
        </w:r>
      </w:hyperlink>
      <w:r>
        <w:t xml:space="preserve">.</w:t>
      </w:r>
    </w:p>
    <w:bookmarkEnd w:id="138"/>
    <w:bookmarkStart w:id="14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139">
        <w:r>
          <w:rPr>
            <w:rStyle w:val="Hyperlink"/>
          </w:rPr>
          <w:t xml:space="preserve">https://medium.com/personaldata-io/uber-vs-drivers-trial-interview-data-protection-expert-rene-mahieu-55359f8cdd9d</w:t>
        </w:r>
      </w:hyperlink>
      <w:r>
        <w:t xml:space="preserve">.</w:t>
      </w:r>
    </w:p>
    <w:bookmarkEnd w:id="140"/>
    <w:bookmarkStart w:id="14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41">
        <w:r>
          <w:rPr>
            <w:rStyle w:val="Hyperlink"/>
          </w:rPr>
          <w:t xml:space="preserve">10.1145/381854.381893</w:t>
        </w:r>
      </w:hyperlink>
      <w:r>
        <w:t xml:space="preserve">.</w:t>
      </w:r>
    </w:p>
    <w:bookmarkEnd w:id="142"/>
    <w:bookmarkStart w:id="144"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143">
        <w:r>
          <w:rPr>
            <w:rStyle w:val="Hyperlink"/>
          </w:rPr>
          <w:t xml:space="preserve">https://books.google.co.uk/books?id=8ZiWDwAAQBAJ</w:t>
        </w:r>
      </w:hyperlink>
      <w:r>
        <w:t xml:space="preserve">.</w:t>
      </w:r>
    </w:p>
    <w:bookmarkEnd w:id="144"/>
    <w:bookmarkStart w:id="145" w:name="ref-giaccardi2020"/>
    <w:p>
      <w:pPr>
        <w:pStyle w:val="Bibliography"/>
      </w:pPr>
      <w:r>
        <w:t xml:space="preserve">Giaccardi, E. and Redström, J. (2020)</w:t>
      </w:r>
      <w:r>
        <w:t xml:space="preserve"> </w:t>
      </w:r>
      <w:r>
        <w:t xml:space="preserve">‘Technology and more-than-human design’</w:t>
      </w:r>
      <w:r>
        <w:t xml:space="preserve">,</w:t>
      </w:r>
      <w:r>
        <w:t xml:space="preserve"> </w:t>
      </w:r>
      <w:r>
        <w:rPr>
          <w:iCs/>
          <w:i/>
        </w:rPr>
        <w:t xml:space="preserve">Design Issues</w:t>
      </w:r>
      <w:r>
        <w:t xml:space="preserve">. MIT Press, 36(4), pp. 33–44.</w:t>
      </w:r>
    </w:p>
    <w:bookmarkEnd w:id="145"/>
    <w:bookmarkStart w:id="14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46">
        <w:r>
          <w:rPr>
            <w:rStyle w:val="Hyperlink"/>
          </w:rPr>
          <w:t xml:space="preserve">https://mitpress.mit.edu/books/raw-data-oxymoron</w:t>
        </w:r>
      </w:hyperlink>
      <w:r>
        <w:t xml:space="preserve">.</w:t>
      </w:r>
    </w:p>
    <w:bookmarkEnd w:id="147"/>
    <w:bookmarkStart w:id="14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148"/>
    <w:bookmarkStart w:id="14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149"/>
    <w:bookmarkStart w:id="15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150">
        <w:r>
          <w:rPr>
            <w:rStyle w:val="Hyperlink"/>
          </w:rPr>
          <w:t xml:space="preserve">10.1177/0165551506062337</w:t>
        </w:r>
      </w:hyperlink>
      <w:r>
        <w:t xml:space="preserve">.</w:t>
      </w:r>
    </w:p>
    <w:bookmarkEnd w:id="151"/>
    <w:bookmarkStart w:id="15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52">
        <w:r>
          <w:rPr>
            <w:rStyle w:val="Hyperlink"/>
          </w:rPr>
          <w:t xml:space="preserve">10.1145/2379057.2379109</w:t>
        </w:r>
      </w:hyperlink>
      <w:r>
        <w:t xml:space="preserve">.</w:t>
      </w:r>
    </w:p>
    <w:bookmarkEnd w:id="153"/>
    <w:bookmarkStart w:id="15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154">
        <w:r>
          <w:rPr>
            <w:rStyle w:val="Hyperlink"/>
          </w:rPr>
          <w:t xml:space="preserve">https://www.theverge.com/2016/2/1/10872792/facebook-interests-ranked-preferred-audience-size</w:t>
        </w:r>
      </w:hyperlink>
      <w:r>
        <w:t xml:space="preserve">.</w:t>
      </w:r>
    </w:p>
    <w:bookmarkEnd w:id="155"/>
    <w:bookmarkStart w:id="157"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156">
        <w:r>
          <w:rPr>
            <w:rStyle w:val="Hyperlink"/>
          </w:rPr>
          <w:t xml:space="preserve">https://www.wsj.com/articles/the-facebook-files-11631713039</w:t>
        </w:r>
      </w:hyperlink>
      <w:r>
        <w:t xml:space="preserve">.</w:t>
      </w:r>
    </w:p>
    <w:bookmarkEnd w:id="157"/>
    <w:bookmarkStart w:id="158" w:name="ref-jeffers2017"/>
    <w:p>
      <w:pPr>
        <w:pStyle w:val="Bibliography"/>
      </w:pPr>
      <w:r>
        <w:t xml:space="preserve">Jeffers, S. and Webb, L. K. (2017)</w:t>
      </w:r>
      <w:r>
        <w:t xml:space="preserve"> </w:t>
      </w:r>
      <w:r>
        <w:t xml:space="preserve">‘About who targets me’</w:t>
      </w:r>
      <w:r>
        <w:t xml:space="preserve">.</w:t>
      </w:r>
    </w:p>
    <w:bookmarkEnd w:id="158"/>
    <w:bookmarkStart w:id="159"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59"/>
    <w:bookmarkStart w:id="160"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60"/>
    <w:bookmarkStart w:id="162" w:name="ref-keegan2022"/>
    <w:p>
      <w:pPr>
        <w:pStyle w:val="Bibliography"/>
      </w:pPr>
      <w:r>
        <w:t xml:space="preserve">Keegan, J. and Ng, A. (2022)</w:t>
      </w:r>
      <w:r>
        <w:t xml:space="preserve"> </w:t>
      </w:r>
      <w:r>
        <w:t xml:space="preserve">‘Lawsuit highlights how little control brokers have over location data’</w:t>
      </w:r>
      <w:r>
        <w:t xml:space="preserve">,</w:t>
      </w:r>
      <w:r>
        <w:t xml:space="preserve"> </w:t>
      </w:r>
      <w:r>
        <w:rPr>
          <w:iCs/>
          <w:i/>
        </w:rPr>
        <w:t xml:space="preserve">The Markup</w:t>
      </w:r>
      <w:r>
        <w:t xml:space="preserve">. available at:</w:t>
      </w:r>
      <w:r>
        <w:t xml:space="preserve"> </w:t>
      </w:r>
      <w:hyperlink r:id="rId161">
        <w:r>
          <w:rPr>
            <w:rStyle w:val="Hyperlink"/>
          </w:rPr>
          <w:t xml:space="preserve">https://themarkup.org/privacy/2022/03/21/lawsuit-highlights-how-little-control-brokers-have-over-location-data</w:t>
        </w:r>
      </w:hyperlink>
      <w:r>
        <w:t xml:space="preserve"> </w:t>
      </w:r>
      <w:r>
        <w:t xml:space="preserve">(accessed: 25 May 2023).</w:t>
      </w:r>
    </w:p>
    <w:bookmarkEnd w:id="162"/>
    <w:bookmarkStart w:id="163" w:name="ref-kelly2023"/>
    <w:p>
      <w:pPr>
        <w:pStyle w:val="Bibliography"/>
      </w:pPr>
      <w:r>
        <w:t xml:space="preserve">Kelly, K. (2023)</w:t>
      </w:r>
      <w:r>
        <w:t xml:space="preserve"> </w:t>
      </w:r>
      <w:r>
        <w:t xml:space="preserve">‘The ring video doorbell and the entry of amazon into the smart home: Implications for consumer-initiated surveillance’</w:t>
      </w:r>
      <w:r>
        <w:t xml:space="preserve">,</w:t>
      </w:r>
      <w:r>
        <w:t xml:space="preserve"> </w:t>
      </w:r>
      <w:r>
        <w:rPr>
          <w:iCs/>
          <w:i/>
        </w:rPr>
        <w:t xml:space="preserve">Journal of Consumer Policy</w:t>
      </w:r>
      <w:r>
        <w:t xml:space="preserve">. Springer, 46(1), pp. 95–104.</w:t>
      </w:r>
    </w:p>
    <w:bookmarkEnd w:id="163"/>
    <w:bookmarkStart w:id="16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64">
        <w:r>
          <w:rPr>
            <w:rStyle w:val="Hyperlink"/>
          </w:rPr>
          <w:t xml:space="preserve">10.1145/3411763.3451632</w:t>
        </w:r>
      </w:hyperlink>
      <w:r>
        <w:t xml:space="preserve">.</w:t>
      </w:r>
    </w:p>
    <w:bookmarkEnd w:id="165"/>
    <w:bookmarkStart w:id="16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66">
        <w:r>
          <w:rPr>
            <w:rStyle w:val="Hyperlink"/>
          </w:rPr>
          <w:t xml:space="preserve">https://perma.cc/92LZ-B8DN].</w:t>
        </w:r>
      </w:hyperlink>
    </w:p>
    <w:bookmarkEnd w:id="167"/>
    <w:bookmarkStart w:id="168"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8"/>
    <w:bookmarkStart w:id="17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69">
        <w:r>
          <w:rPr>
            <w:rStyle w:val="Hyperlink"/>
          </w:rPr>
          <w:t xml:space="preserve">10.1145/1753846.1754181</w:t>
        </w:r>
      </w:hyperlink>
      <w:r>
        <w:t xml:space="preserve">.</w:t>
      </w:r>
    </w:p>
    <w:bookmarkEnd w:id="170"/>
    <w:bookmarkStart w:id="17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71">
        <w:r>
          <w:rPr>
            <w:rStyle w:val="Hyperlink"/>
          </w:rPr>
          <w:t xml:space="preserve">10.1145/3173574.3173692</w:t>
        </w:r>
      </w:hyperlink>
      <w:r>
        <w:t xml:space="preserve">.</w:t>
      </w:r>
    </w:p>
    <w:bookmarkEnd w:id="172"/>
    <w:bookmarkStart w:id="17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73">
        <w:r>
          <w:rPr>
            <w:rStyle w:val="Hyperlink"/>
          </w:rPr>
          <w:t xml:space="preserve">https://techcrunch.com/2021/03/12/dutch-court-rejects-uber-drivers-robo-firing-charge-but-tells-ola-to-explain-algo-deductions/</w:t>
        </w:r>
      </w:hyperlink>
      <w:r>
        <w:t xml:space="preserve">.</w:t>
      </w:r>
    </w:p>
    <w:bookmarkEnd w:id="174"/>
    <w:bookmarkStart w:id="176" w:name="ref-vanLoon2018"/>
    <w:p>
      <w:pPr>
        <w:pStyle w:val="Bibliography"/>
      </w:pPr>
      <w:r>
        <w:t xml:space="preserve">Loon, A. van (2018)</w:t>
      </w:r>
      <w:r>
        <w:t xml:space="preserve"> </w:t>
      </w:r>
      <w:r>
        <w:t xml:space="preserve">‘Publishers and google as joint controllers. How to avoid joint and several liability?’</w:t>
      </w:r>
      <w:r>
        <w:t xml:space="preserve">,</w:t>
      </w:r>
      <w:r>
        <w:t xml:space="preserve"> </w:t>
      </w:r>
      <w:r>
        <w:rPr>
          <w:iCs/>
          <w:i/>
        </w:rPr>
        <w:t xml:space="preserve">LinkedIn Pulse</w:t>
      </w:r>
      <w:r>
        <w:t xml:space="preserve">. available at:</w:t>
      </w:r>
      <w:r>
        <w:t xml:space="preserve"> </w:t>
      </w:r>
      <w:hyperlink r:id="rId175">
        <w:r>
          <w:rPr>
            <w:rStyle w:val="Hyperlink"/>
          </w:rPr>
          <w:t xml:space="preserve">https://www.linkedin.com/pulse/publishers-google-joint-controllers-how-avoid-several-ad/</w:t>
        </w:r>
      </w:hyperlink>
      <w:r>
        <w:t xml:space="preserve">.</w:t>
      </w:r>
    </w:p>
    <w:bookmarkEnd w:id="176"/>
    <w:bookmarkStart w:id="178" w:name="ref-lufkin2017"/>
    <w:p>
      <w:pPr>
        <w:pStyle w:val="Bibliography"/>
      </w:pPr>
      <w:r>
        <w:t xml:space="preserve">Lufkin, B. (2017)</w:t>
      </w:r>
      <w:r>
        <w:t xml:space="preserve"> </w:t>
      </w:r>
      <w:r>
        <w:t xml:space="preserve">‘50 grand challenges for the 21st century’</w:t>
      </w:r>
      <w:r>
        <w:t xml:space="preserve">,</w:t>
      </w:r>
      <w:r>
        <w:t xml:space="preserve"> </w:t>
      </w:r>
      <w:r>
        <w:rPr>
          <w:iCs/>
          <w:i/>
        </w:rPr>
        <w:t xml:space="preserve">BBC Future</w:t>
      </w:r>
      <w:r>
        <w:t xml:space="preserve">. available at:</w:t>
      </w:r>
      <w:r>
        <w:t xml:space="preserve"> </w:t>
      </w:r>
      <w:hyperlink r:id="rId177">
        <w:r>
          <w:rPr>
            <w:rStyle w:val="Hyperlink"/>
          </w:rPr>
          <w:t xml:space="preserve">https://www.bbc.com/future/article/20170331-50-grand-challenges-for-the-21st-century</w:t>
        </w:r>
      </w:hyperlink>
      <w:r>
        <w:t xml:space="preserve">.</w:t>
      </w:r>
    </w:p>
    <w:bookmarkEnd w:id="178"/>
    <w:bookmarkStart w:id="18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79">
        <w:r>
          <w:rPr>
            <w:rStyle w:val="Hyperlink"/>
          </w:rPr>
          <w:t xml:space="preserve">https://www.theguardian.com/world/interactive/2013/nov/01/snowden-nsa-files-surveillance-revelations-decoded</w:t>
        </w:r>
      </w:hyperlink>
      <w:r>
        <w:t xml:space="preserve">.</w:t>
      </w:r>
    </w:p>
    <w:bookmarkEnd w:id="180"/>
    <w:bookmarkStart w:id="18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81">
        <w:r>
          <w:rPr>
            <w:rStyle w:val="Hyperlink"/>
          </w:rPr>
          <w:t xml:space="preserve">https://policyreview.info/articles/news/harnessing-collective-potential-gdpr-access-rights-towards-ecology-transparency/1487</w:t>
        </w:r>
      </w:hyperlink>
      <w:r>
        <w:t xml:space="preserve">.</w:t>
      </w:r>
    </w:p>
    <w:bookmarkEnd w:id="182"/>
    <w:bookmarkStart w:id="18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83"/>
    <w:bookmarkStart w:id="185" w:name="ref-maldre2012"/>
    <w:p>
      <w:pPr>
        <w:pStyle w:val="Bibliography"/>
      </w:pPr>
      <w:r>
        <w:t xml:space="preserve">Maldre, M. (2012)</w:t>
      </w:r>
      <w:r>
        <w:t xml:space="preserve"> </w:t>
      </w:r>
      <w:r>
        <w:t xml:space="preserve">‘Amazon makes kindle less social -’</w:t>
      </w:r>
      <w:r>
        <w:t xml:space="preserve">. available at:</w:t>
      </w:r>
      <w:r>
        <w:t xml:space="preserve"> </w:t>
      </w:r>
      <w:hyperlink r:id="rId184">
        <w:r>
          <w:rPr>
            <w:rStyle w:val="Hyperlink"/>
          </w:rPr>
          <w:t xml:space="preserve">https://www.mattmaldre.com/2012/10/01/amazon-makes-kindle-less-social/</w:t>
        </w:r>
      </w:hyperlink>
      <w:r>
        <w:t xml:space="preserve">.</w:t>
      </w:r>
    </w:p>
    <w:bookmarkEnd w:id="185"/>
    <w:bookmarkStart w:id="18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86">
        <w:r>
          <w:rPr>
            <w:rStyle w:val="Hyperlink"/>
          </w:rPr>
          <w:t xml:space="preserve">https://medium.com/mysuperai/what-is-named-entity-recognition-ner-and-how-can-i-use-it-2b68cf6f545d</w:t>
        </w:r>
      </w:hyperlink>
      <w:r>
        <w:t xml:space="preserve">.</w:t>
      </w:r>
    </w:p>
    <w:bookmarkEnd w:id="187"/>
    <w:bookmarkStart w:id="18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88"/>
    <w:bookmarkStart w:id="189" w:name="ref-maskell2018"/>
    <w:p>
      <w:pPr>
        <w:pStyle w:val="Bibliography"/>
      </w:pPr>
      <w:r>
        <w:t xml:space="preserve">Maskell, T.</w:t>
      </w:r>
      <w:r>
        <w:t xml:space="preserve"> </w:t>
      </w:r>
      <w:r>
        <w:rPr>
          <w:iCs/>
          <w:i/>
        </w:rPr>
        <w:t xml:space="preserve">et al.</w:t>
      </w:r>
      <w:r>
        <w:t xml:space="preserve"> </w:t>
      </w:r>
      <w:r>
        <w:t xml:space="preserve">(2018)</w:t>
      </w:r>
      <w:r>
        <w:t xml:space="preserve"> </w:t>
      </w:r>
      <w:r>
        <w:t xml:space="preserve">‘Spokespeople: Exploring routes to action through citizen-generated data’</w:t>
      </w:r>
      <w:r>
        <w:t xml:space="preserve">, in</w:t>
      </w:r>
      <w:r>
        <w:t xml:space="preserve"> </w:t>
      </w:r>
      <w:r>
        <w:rPr>
          <w:iCs/>
          <w:i/>
        </w:rPr>
        <w:t xml:space="preserve">Proceedings of the 2018 CHI conference on human factors in computing systems</w:t>
      </w:r>
      <w:r>
        <w:t xml:space="preserve">, pp. 1–12.</w:t>
      </w:r>
    </w:p>
    <w:bookmarkEnd w:id="189"/>
    <w:bookmarkStart w:id="190" w:name="ref-mcadams1996"/>
    <w:p>
      <w:pPr>
        <w:pStyle w:val="Bibliography"/>
      </w:pPr>
      <w:r>
        <w:t xml:space="preserve">McAdams, D. P. (1996)</w:t>
      </w:r>
      <w:r>
        <w:t xml:space="preserve"> </w:t>
      </w:r>
      <w:r>
        <w:t xml:space="preserve">‘Personality, modernity, and the storied self: A contemporary framework for studying persons’</w:t>
      </w:r>
      <w:r>
        <w:t xml:space="preserve">,</w:t>
      </w:r>
      <w:r>
        <w:t xml:space="preserve"> </w:t>
      </w:r>
      <w:r>
        <w:rPr>
          <w:iCs/>
          <w:i/>
        </w:rPr>
        <w:t xml:space="preserve">Psychological inquiry</w:t>
      </w:r>
      <w:r>
        <w:t xml:space="preserve">. Taylor &amp; Francis, 7(4), pp. 295–321.</w:t>
      </w:r>
    </w:p>
    <w:bookmarkEnd w:id="190"/>
    <w:bookmarkStart w:id="19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91">
        <w:r>
          <w:rPr>
            <w:rStyle w:val="Hyperlink"/>
          </w:rPr>
          <w:t xml:space="preserve">10.1145/2556288.2557295</w:t>
        </w:r>
      </w:hyperlink>
      <w:r>
        <w:t xml:space="preserve">.</w:t>
      </w:r>
    </w:p>
    <w:bookmarkEnd w:id="192"/>
    <w:bookmarkStart w:id="19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93">
        <w:r>
          <w:rPr>
            <w:rStyle w:val="Hyperlink"/>
          </w:rPr>
          <w:t xml:space="preserve">https://www.eff.org/deeplinks/2019/07/googles-plans-chrome-extensions-wont-really-help-security</w:t>
        </w:r>
      </w:hyperlink>
      <w:r>
        <w:t xml:space="preserve">.</w:t>
      </w:r>
    </w:p>
    <w:bookmarkEnd w:id="194"/>
    <w:bookmarkStart w:id="195" w:name="ref-vanMill2022"/>
    <w:p>
      <w:pPr>
        <w:pStyle w:val="Bibliography"/>
      </w:pPr>
      <w:r>
        <w:t xml:space="preserve">Mill, J. van and Quintais, J. P. (2022)</w:t>
      </w:r>
      <w:r>
        <w:t xml:space="preserve"> </w:t>
      </w:r>
      <w:r>
        <w:t xml:space="preserve">‘A matter of (joint) control? Virtual assistants and the general data protection regulation’</w:t>
      </w:r>
      <w:r>
        <w:t xml:space="preserve">,</w:t>
      </w:r>
      <w:r>
        <w:t xml:space="preserve"> </w:t>
      </w:r>
      <w:r>
        <w:rPr>
          <w:iCs/>
          <w:i/>
        </w:rPr>
        <w:t xml:space="preserve">Computer Law &amp; Security Review</w:t>
      </w:r>
      <w:r>
        <w:t xml:space="preserve">. Elsevier, 45, p. 105689.</w:t>
      </w:r>
    </w:p>
    <w:bookmarkEnd w:id="195"/>
    <w:bookmarkStart w:id="197"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96">
        <w:r>
          <w:rPr>
            <w:rStyle w:val="Hyperlink"/>
          </w:rPr>
          <w:t xml:space="preserve">https://www.bmc.com/blogs/right-to-repair/</w:t>
        </w:r>
      </w:hyperlink>
      <w:r>
        <w:t xml:space="preserve">.</w:t>
      </w:r>
    </w:p>
    <w:bookmarkEnd w:id="197"/>
    <w:bookmarkStart w:id="199" w:name="ref-milmo2021"/>
    <w:p>
      <w:pPr>
        <w:pStyle w:val="Bibliography"/>
      </w:pPr>
      <w:r>
        <w:t xml:space="preserve">Milmo, D. (2021)</w:t>
      </w:r>
      <w:r>
        <w:t xml:space="preserve"> </w:t>
      </w:r>
      <w:r>
        <w:rPr>
          <w:iCs/>
          <w:i/>
        </w:rPr>
        <w:t xml:space="preserve">The Guardian</w:t>
      </w:r>
      <w:r>
        <w:t xml:space="preserve">. available at:</w:t>
      </w:r>
      <w:r>
        <w:t xml:space="preserve"> </w:t>
      </w:r>
      <w:hyperlink r:id="rId198">
        <w:r>
          <w:rPr>
            <w:rStyle w:val="Hyperlink"/>
          </w:rPr>
          <w:t xml:space="preserve">https://www.theguardian.com/uk-news/2021/oct/14/amazon-asks-ring-owners-to-respect-privacy-after-court-rules-usage-broke-law</w:t>
        </w:r>
      </w:hyperlink>
      <w:r>
        <w:t xml:space="preserve"> </w:t>
      </w:r>
      <w:r>
        <w:t xml:space="preserve">(accessed: 25 May 2023).</w:t>
      </w:r>
    </w:p>
    <w:bookmarkEnd w:id="199"/>
    <w:bookmarkStart w:id="20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00">
        <w:r>
          <w:rPr>
            <w:rStyle w:val="Hyperlink"/>
          </w:rPr>
          <w:t xml:space="preserve">https://www.tomsguide.com/news/apple-launches-iphone-self-service-repair-kits-but-theres-a-big-catch</w:t>
        </w:r>
      </w:hyperlink>
      <w:r>
        <w:t xml:space="preserve">.</w:t>
      </w:r>
    </w:p>
    <w:bookmarkEnd w:id="201"/>
    <w:bookmarkStart w:id="202" w:name="ref-muhlhoff2023"/>
    <w:p>
      <w:pPr>
        <w:pStyle w:val="Bibliography"/>
      </w:pPr>
      <w:r>
        <w:t xml:space="preserve">Mühlhoff, R. (2023)</w:t>
      </w:r>
      <w:r>
        <w:t xml:space="preserve"> </w:t>
      </w:r>
      <w:r>
        <w:t xml:space="preserve">‘Predictive privacy: Collective data protection in the context of artificial intelligence and big data’</w:t>
      </w:r>
      <w:r>
        <w:t xml:space="preserve">,</w:t>
      </w:r>
      <w:r>
        <w:t xml:space="preserve"> </w:t>
      </w:r>
      <w:r>
        <w:rPr>
          <w:iCs/>
          <w:i/>
        </w:rPr>
        <w:t xml:space="preserve">Big Data &amp; Society</w:t>
      </w:r>
      <w:r>
        <w:t xml:space="preserve">. SAGE Publications Sage UK: London, England, 10(1), p. 20539517231166886.</w:t>
      </w:r>
    </w:p>
    <w:bookmarkEnd w:id="202"/>
    <w:bookmarkStart w:id="203" w:name="ref-mundie2014"/>
    <w:p>
      <w:pPr>
        <w:pStyle w:val="Bibliography"/>
      </w:pPr>
      <w:r>
        <w:t xml:space="preserve">Mundie, C. (2014)</w:t>
      </w:r>
      <w:r>
        <w:t xml:space="preserve"> </w:t>
      </w:r>
      <w:r>
        <w:t xml:space="preserve">‘Privacy pragmatism; focus on data use, not data collection’</w:t>
      </w:r>
      <w:r>
        <w:t xml:space="preserve">,</w:t>
      </w:r>
      <w:r>
        <w:t xml:space="preserve"> </w:t>
      </w:r>
      <w:r>
        <w:rPr>
          <w:iCs/>
          <w:i/>
        </w:rPr>
        <w:t xml:space="preserve">Foreign Affairs</w:t>
      </w:r>
      <w:r>
        <w:t xml:space="preserve">. HeinOnline, 93, p. 28.</w:t>
      </w:r>
    </w:p>
    <w:bookmarkEnd w:id="203"/>
    <w:bookmarkStart w:id="20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04">
        <w:r>
          <w:rPr>
            <w:rStyle w:val="Hyperlink"/>
          </w:rPr>
          <w:t xml:space="preserve">https://web.archive.org/web/20210325143142/https://www.mydata.org/declaration/</w:t>
        </w:r>
      </w:hyperlink>
      <w:r>
        <w:t xml:space="preserve"> </w:t>
      </w:r>
      <w:r>
        <w:t xml:space="preserve">(accessed: 25 March 2021).</w:t>
      </w:r>
    </w:p>
    <w:bookmarkEnd w:id="205"/>
    <w:bookmarkStart w:id="20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06">
        <w:r>
          <w:rPr>
            <w:rStyle w:val="Hyperlink"/>
          </w:rPr>
          <w:t xml:space="preserve">10.1089/big.2013.0029</w:t>
        </w:r>
      </w:hyperlink>
      <w:r>
        <w:t xml:space="preserve">.</w:t>
      </w:r>
    </w:p>
    <w:bookmarkEnd w:id="207"/>
    <w:bookmarkStart w:id="209"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08">
        <w:r>
          <w:rPr>
            <w:rStyle w:val="Hyperlink"/>
          </w:rPr>
          <w:t xml:space="preserve">https://web.archive.org/web/20120922222936/http://gigaom.com/2012/09/18/betaworks-findings-pivots-as-amazon-bans-kindle-clips/</w:t>
        </w:r>
      </w:hyperlink>
      <w:r>
        <w:t xml:space="preserve">.</w:t>
      </w:r>
    </w:p>
    <w:bookmarkEnd w:id="209"/>
    <w:bookmarkStart w:id="211"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10">
        <w:r>
          <w:rPr>
            <w:rStyle w:val="Hyperlink"/>
          </w:rPr>
          <w:t xml:space="preserve">https://raluca-p.medium.com/web-scraping-extensions-the-easy-gateway-to-web-data-40e8592e13bf</w:t>
        </w:r>
      </w:hyperlink>
      <w:r>
        <w:t xml:space="preserve">.</w:t>
      </w:r>
    </w:p>
    <w:bookmarkEnd w:id="211"/>
    <w:bookmarkStart w:id="213" w:name="ref-phillips2020"/>
    <w:p>
      <w:pPr>
        <w:pStyle w:val="Bibliography"/>
      </w:pPr>
      <w:r>
        <w:t xml:space="preserve">Phillips, P. J.</w:t>
      </w:r>
      <w:r>
        <w:t xml:space="preserve"> </w:t>
      </w:r>
      <w:r>
        <w:rPr>
          <w:iCs/>
          <w:i/>
        </w:rPr>
        <w:t xml:space="preserve">et al.</w:t>
      </w:r>
      <w:r>
        <w:t xml:space="preserve"> </w:t>
      </w:r>
      <w:r>
        <w:t xml:space="preserve">(2020)</w:t>
      </w:r>
      <w:r>
        <w:t xml:space="preserve"> </w:t>
      </w:r>
      <w:r>
        <w:t xml:space="preserve">‘Four principles of explainable artificial intelligence’</w:t>
      </w:r>
      <w:r>
        <w:t xml:space="preserve">. National Institute of Standards; Technology, p. 18. doi:</w:t>
      </w:r>
      <w:r>
        <w:t xml:space="preserve"> </w:t>
      </w:r>
      <w:hyperlink r:id="rId212">
        <w:r>
          <w:rPr>
            <w:rStyle w:val="Hyperlink"/>
          </w:rPr>
          <w:t xml:space="preserve">https://doi.org/10.6028/NIST.IR.8312-draft</w:t>
        </w:r>
      </w:hyperlink>
      <w:r>
        <w:t xml:space="preserve">.</w:t>
      </w:r>
    </w:p>
    <w:bookmarkEnd w:id="213"/>
    <w:bookmarkStart w:id="21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14">
        <w:r>
          <w:rPr>
            <w:rStyle w:val="Hyperlink"/>
          </w:rPr>
          <w:t xml:space="preserve">10.5281/zenodo.6554155</w:t>
        </w:r>
      </w:hyperlink>
      <w:r>
        <w:t xml:space="preserve">.</w:t>
      </w:r>
    </w:p>
    <w:bookmarkEnd w:id="215"/>
    <w:bookmarkStart w:id="21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216"/>
    <w:bookmarkStart w:id="218"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17">
        <w:r>
          <w:rPr>
            <w:rStyle w:val="Hyperlink"/>
          </w:rPr>
          <w:t xml:space="preserve">10.1145/3173574.3173818</w:t>
        </w:r>
      </w:hyperlink>
      <w:r>
        <w:t xml:space="preserve">.</w:t>
      </w:r>
    </w:p>
    <w:bookmarkEnd w:id="218"/>
    <w:bookmarkStart w:id="220"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19">
        <w:r>
          <w:rPr>
            <w:rStyle w:val="Hyperlink"/>
          </w:rPr>
          <w:t xml:space="preserve">https://noyb.eu/en/our-detailed-concept</w:t>
        </w:r>
      </w:hyperlink>
      <w:r>
        <w:t xml:space="preserve">.</w:t>
      </w:r>
    </w:p>
    <w:bookmarkEnd w:id="220"/>
    <w:bookmarkStart w:id="222" w:name="ref-shapeRepo"/>
    <w:p>
      <w:pPr>
        <w:pStyle w:val="Bibliography"/>
      </w:pPr>
      <w:r>
        <w:t xml:space="preserve">‘ShapeRepo: Make your apps interoperable’</w:t>
      </w:r>
      <w:r>
        <w:t xml:space="preserve"> </w:t>
      </w:r>
      <w:r>
        <w:t xml:space="preserve">(2022). available at:</w:t>
      </w:r>
      <w:r>
        <w:t xml:space="preserve"> </w:t>
      </w:r>
      <w:hyperlink r:id="rId221">
        <w:r>
          <w:rPr>
            <w:rStyle w:val="Hyperlink"/>
          </w:rPr>
          <w:t xml:space="preserve">https://shaperepo.com/</w:t>
        </w:r>
      </w:hyperlink>
      <w:r>
        <w:t xml:space="preserve">.</w:t>
      </w:r>
    </w:p>
    <w:bookmarkEnd w:id="222"/>
    <w:bookmarkStart w:id="223" w:name="ref-shemtob2021"/>
    <w:p>
      <w:pPr>
        <w:pStyle w:val="Bibliography"/>
      </w:pPr>
      <w:r>
        <w:t xml:space="preserve">Shemtob, L. (2021)</w:t>
      </w:r>
      <w:r>
        <w:t xml:space="preserve"> </w:t>
      </w:r>
      <w:r>
        <w:t xml:space="preserve">‘GPDPR versus GDPR’</w:t>
      </w:r>
      <w:r>
        <w:t xml:space="preserve">,</w:t>
      </w:r>
      <w:r>
        <w:t xml:space="preserve"> </w:t>
      </w:r>
      <w:r>
        <w:rPr>
          <w:iCs/>
          <w:i/>
        </w:rPr>
        <w:t xml:space="preserve">British Journal of General Practice</w:t>
      </w:r>
      <w:r>
        <w:t xml:space="preserve">. British Journal of General Practice, 71(710), pp. 419–419.</w:t>
      </w:r>
    </w:p>
    <w:bookmarkEnd w:id="223"/>
    <w:bookmarkStart w:id="224" w:name="ref-slater2003"/>
    <w:p>
      <w:pPr>
        <w:pStyle w:val="Bibliography"/>
      </w:pPr>
      <w:r>
        <w:t xml:space="preserve">Slater, C. L. (2003)</w:t>
      </w:r>
      <w:r>
        <w:t xml:space="preserve"> </w:t>
      </w:r>
      <w:r>
        <w:t xml:space="preserve">‘Generativity versus stagnation: An elaboration of erikson’s adult stage of human development’</w:t>
      </w:r>
      <w:r>
        <w:t xml:space="preserve">,</w:t>
      </w:r>
      <w:r>
        <w:t xml:space="preserve"> </w:t>
      </w:r>
      <w:r>
        <w:rPr>
          <w:iCs/>
          <w:i/>
        </w:rPr>
        <w:t xml:space="preserve">Journal of Adult development</w:t>
      </w:r>
      <w:r>
        <w:t xml:space="preserve">. Springer Nature BV, 10(1), pp. 53–65.</w:t>
      </w:r>
    </w:p>
    <w:bookmarkEnd w:id="224"/>
    <w:bookmarkStart w:id="22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225">
        <w:r>
          <w:rPr>
            <w:rStyle w:val="Hyperlink"/>
          </w:rPr>
          <w:t xml:space="preserve">https://www.wired.co.uk/article/privacy-versus-facebook</w:t>
        </w:r>
      </w:hyperlink>
      <w:r>
        <w:t xml:space="preserve">.</w:t>
      </w:r>
    </w:p>
    <w:bookmarkEnd w:id="226"/>
    <w:bookmarkStart w:id="22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227">
        <w:r>
          <w:rPr>
            <w:rStyle w:val="Hyperlink"/>
          </w:rPr>
          <w:t xml:space="preserve">10.1145/2661435.2661436</w:t>
        </w:r>
      </w:hyperlink>
      <w:r>
        <w:t xml:space="preserve">.</w:t>
      </w:r>
    </w:p>
    <w:bookmarkEnd w:id="228"/>
    <w:bookmarkStart w:id="229" w:name="ref-taylor2016"/>
    <w:p>
      <w:pPr>
        <w:pStyle w:val="Bibliography"/>
      </w:pPr>
      <w:r>
        <w:t xml:space="preserve">Taylor, L., Floridi, L. and Van der Sloot, B. (2016)</w:t>
      </w:r>
      <w:r>
        <w:t xml:space="preserve"> </w:t>
      </w:r>
      <w:r>
        <w:rPr>
          <w:iCs/>
          <w:i/>
        </w:rPr>
        <w:t xml:space="preserve">Group privacy: New challenges of data technologies</w:t>
      </w:r>
      <w:r>
        <w:t xml:space="preserve">. Springer.</w:t>
      </w:r>
    </w:p>
    <w:bookmarkEnd w:id="229"/>
    <w:bookmarkStart w:id="23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230">
        <w:r>
          <w:rPr>
            <w:rStyle w:val="Hyperlink"/>
          </w:rPr>
          <w:t xml:space="preserve">10.1145/634067.634311</w:t>
        </w:r>
      </w:hyperlink>
      <w:r>
        <w:t xml:space="preserve">.</w:t>
      </w:r>
    </w:p>
    <w:bookmarkEnd w:id="231"/>
    <w:bookmarkStart w:id="23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232">
        <w:r>
          <w:rPr>
            <w:rStyle w:val="Hyperlink"/>
          </w:rPr>
          <w:t xml:space="preserve">https://www.ft.com/content/aabe2aee-cd2b-42e4-9a0b-51f838da89db</w:t>
        </w:r>
      </w:hyperlink>
      <w:r>
        <w:t xml:space="preserve">.</w:t>
      </w:r>
    </w:p>
    <w:bookmarkEnd w:id="233"/>
    <w:bookmarkStart w:id="234" w:name="ref-tisne2020"/>
    <w:p>
      <w:pPr>
        <w:pStyle w:val="Bibliography"/>
      </w:pPr>
      <w:r>
        <w:t xml:space="preserve">Tisné, M. (2020)</w:t>
      </w:r>
      <w:r>
        <w:t xml:space="preserve"> </w:t>
      </w:r>
      <w:r>
        <w:t xml:space="preserve">‘The data delusion: Protecting individual data isn’t enough when the harm is collective’</w:t>
      </w:r>
      <w:r>
        <w:t xml:space="preserve">,</w:t>
      </w:r>
      <w:r>
        <w:t xml:space="preserve"> </w:t>
      </w:r>
      <w:r>
        <w:rPr>
          <w:iCs/>
          <w:i/>
        </w:rPr>
        <w:t xml:space="preserve">Luminate, July</w:t>
      </w:r>
      <w:r>
        <w:t xml:space="preserve">.</w:t>
      </w:r>
    </w:p>
    <w:bookmarkEnd w:id="234"/>
    <w:bookmarkStart w:id="236"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235">
        <w:r>
          <w:rPr>
            <w:rStyle w:val="Hyperlink"/>
          </w:rPr>
          <w:t xml:space="preserve">https://www.wired.com/story/right-to-repair-tenants-on-our-own-devices/</w:t>
        </w:r>
      </w:hyperlink>
      <w:r>
        <w:t xml:space="preserve">.</w:t>
      </w:r>
    </w:p>
    <w:bookmarkEnd w:id="236"/>
    <w:bookmarkStart w:id="238"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37">
        <w:r>
          <w:rPr>
            <w:rStyle w:val="Hyperlink"/>
          </w:rPr>
          <w:t xml:space="preserve">https://developer.mozilla.org/en-US/docs/Web/Accessibility/ARIA</w:t>
        </w:r>
      </w:hyperlink>
      <w:r>
        <w:t xml:space="preserve">.</w:t>
      </w:r>
    </w:p>
    <w:bookmarkEnd w:id="238"/>
    <w:bookmarkStart w:id="24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239">
        <w:r>
          <w:rPr>
            <w:rStyle w:val="Hyperlink"/>
          </w:rPr>
          <w:t xml:space="preserve">https://ruben.verborgh.org/blog/2017/12/20/paradigm-shifts-for-the-decentralized-web/</w:t>
        </w:r>
      </w:hyperlink>
      <w:r>
        <w:t xml:space="preserve">.</w:t>
      </w:r>
    </w:p>
    <w:bookmarkEnd w:id="240"/>
    <w:bookmarkStart w:id="241" w:name="ref-wakkary2022"/>
    <w:p>
      <w:pPr>
        <w:pStyle w:val="Bibliography"/>
      </w:pPr>
      <w:r>
        <w:t xml:space="preserve">Wakkary, R., Oogjes, D. and Behzad, A. (2022)</w:t>
      </w:r>
      <w:r>
        <w:t xml:space="preserve"> </w:t>
      </w:r>
      <w:r>
        <w:t xml:space="preserve">‘Two years or more of co-speculation: Polylogues of philosophers, designers, and a tilting bowl’</w:t>
      </w:r>
      <w:r>
        <w:t xml:space="preserve">,</w:t>
      </w:r>
      <w:r>
        <w:t xml:space="preserve"> </w:t>
      </w:r>
      <w:r>
        <w:rPr>
          <w:iCs/>
          <w:i/>
        </w:rPr>
        <w:t xml:space="preserve">ACM Transactions on Computer-Human Interaction</w:t>
      </w:r>
      <w:r>
        <w:t xml:space="preserve">. ACM New York, NY, 29(5), pp. 1–44.</w:t>
      </w:r>
    </w:p>
    <w:bookmarkEnd w:id="241"/>
    <w:bookmarkStart w:id="243"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242">
        <w:r>
          <w:rPr>
            <w:rStyle w:val="Hyperlink"/>
          </w:rPr>
          <w:t xml:space="preserve">https://medium.com/cybersecurity-for-democracy/the-political-ads-facebook-wont-show-you-e0d6181bca25</w:t>
        </w:r>
      </w:hyperlink>
      <w:r>
        <w:t xml:space="preserve">.</w:t>
      </w:r>
    </w:p>
    <w:bookmarkEnd w:id="243"/>
    <w:bookmarkStart w:id="245"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244">
        <w:r>
          <w:rPr>
            <w:rStyle w:val="Hyperlink"/>
          </w:rPr>
          <w:t xml:space="preserve">10.1145/329124.329126</w:t>
        </w:r>
      </w:hyperlink>
      <w:r>
        <w:t xml:space="preserve">.</w:t>
      </w:r>
    </w:p>
    <w:bookmarkEnd w:id="245"/>
    <w:bookmarkStart w:id="246"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246"/>
    <w:bookmarkStart w:id="248"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247">
        <w:r>
          <w:rPr>
            <w:rStyle w:val="Hyperlink"/>
          </w:rPr>
          <w:t xml:space="preserve">http://link.springer.com/content/pdf/10.1007/978-1-4612-0685-9_6.pdf</w:t>
        </w:r>
      </w:hyperlink>
      <w:r>
        <w:t xml:space="preserve">.</w:t>
      </w:r>
    </w:p>
    <w:bookmarkEnd w:id="248"/>
    <w:bookmarkStart w:id="249"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249"/>
    <w:bookmarkStart w:id="251" w:name="ref-opentext2022"/>
    <w:p>
      <w:pPr>
        <w:pStyle w:val="Bibliography"/>
      </w:pPr>
      <w:r>
        <w:t xml:space="preserve">‘What is text mining and content analytics?’</w:t>
      </w:r>
      <w:r>
        <w:t xml:space="preserve"> </w:t>
      </w:r>
      <w:r>
        <w:t xml:space="preserve">(2022). OpenText. available at:</w:t>
      </w:r>
      <w:r>
        <w:t xml:space="preserve"> </w:t>
      </w:r>
      <w:hyperlink r:id="rId250">
        <w:r>
          <w:rPr>
            <w:rStyle w:val="Hyperlink"/>
          </w:rPr>
          <w:t xml:space="preserve">https://www.opentext.com/products-and-solutions/products/ai-and-analytics/opentext-magellan/magellan-text-mining</w:t>
        </w:r>
      </w:hyperlink>
      <w:r>
        <w:t xml:space="preserve">.</w:t>
      </w:r>
    </w:p>
    <w:bookmarkEnd w:id="251"/>
    <w:bookmarkStart w:id="253" w:name="ref-wie2022"/>
    <w:p>
      <w:pPr>
        <w:pStyle w:val="Bibliography"/>
      </w:pPr>
      <w:r>
        <w:t xml:space="preserve">‘Worker info exchange’</w:t>
      </w:r>
      <w:r>
        <w:t xml:space="preserve"> </w:t>
      </w:r>
      <w:r>
        <w:t xml:space="preserve">(2022). available at:</w:t>
      </w:r>
      <w:r>
        <w:t xml:space="preserve"> </w:t>
      </w:r>
      <w:hyperlink r:id="rId252">
        <w:r>
          <w:rPr>
            <w:rStyle w:val="Hyperlink"/>
          </w:rPr>
          <w:t xml:space="preserve">https://www.workerinfoexchange.org/</w:t>
        </w:r>
      </w:hyperlink>
      <w:r>
        <w:t xml:space="preserve">.</w:t>
      </w:r>
    </w:p>
    <w:bookmarkEnd w:id="253"/>
    <w:bookmarkEnd w:id="254"/>
    <w:bookmarkEnd w:id="2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57" Target="media/rId57.jp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hyperlink" Id="rId64" Target="5.5.4" TargetMode="External" /><Relationship Type="http://schemas.openxmlformats.org/officeDocument/2006/relationships/hyperlink" Id="rId72" Target="http://dx.doi.org/10.1145/2370216.2370222" TargetMode="External" /><Relationship Type="http://schemas.openxmlformats.org/officeDocument/2006/relationships/hyperlink" Id="rId247" Target="http://link.springer.com/content/pdf/10.1007/978-1-4612-0685-9_6.pdf" TargetMode="External" /><Relationship Type="http://schemas.openxmlformats.org/officeDocument/2006/relationships/hyperlink" Id="rId95" Target="http://radar.oreilly.com/2011/07/why-files-need-to-die.html" TargetMode="External" /><Relationship Type="http://schemas.openxmlformats.org/officeDocument/2006/relationships/hyperlink" Id="rId103" Target="https://bit.ly/bbc-pds-research-bowyer" TargetMode="External" /><Relationship Type="http://schemas.openxmlformats.org/officeDocument/2006/relationships/hyperlink" Id="rId143" Target="https://books.google.co.uk/books?id=8ZiWDwAAQBAJ" TargetMode="External" /><Relationship Type="http://schemas.openxmlformats.org/officeDocument/2006/relationships/hyperlink" Id="rId120" Target="https://designjustice.mitpress.mit.edu/pub/cfohnud7/release/4" TargetMode="External" /><Relationship Type="http://schemas.openxmlformats.org/officeDocument/2006/relationships/hyperlink" Id="rId237" Target="https://developer.mozilla.org/en-US/docs/Web/Accessibility/ARIA" TargetMode="External" /><Relationship Type="http://schemas.openxmlformats.org/officeDocument/2006/relationships/hyperlink" Id="rId87" Target="https://doi.org/10.1002/asi.10283" TargetMode="External" /><Relationship Type="http://schemas.openxmlformats.org/officeDocument/2006/relationships/hyperlink" Id="rId114" Target="https://doi.org/10.1007/s12394-010-0062-y" TargetMode="External" /><Relationship Type="http://schemas.openxmlformats.org/officeDocument/2006/relationships/hyperlink" Id="rId206" Target="https://doi.org/10.1089/big.2013.0029" TargetMode="External" /><Relationship Type="http://schemas.openxmlformats.org/officeDocument/2006/relationships/hyperlink" Id="rId81" Target="https://doi.org/10.1126/SCIENCE.AAA1160/SUPPL_FILE/PAPV2.PDF" TargetMode="External" /><Relationship Type="http://schemas.openxmlformats.org/officeDocument/2006/relationships/hyperlink" Id="rId110" Target="https://doi.org/10.1145/1011870.1011885" TargetMode="External" /><Relationship Type="http://schemas.openxmlformats.org/officeDocument/2006/relationships/hyperlink" Id="rId169" Target="https://doi.org/10.1145/1753846.1754181" TargetMode="External" /><Relationship Type="http://schemas.openxmlformats.org/officeDocument/2006/relationships/hyperlink" Id="rId152" Target="https://doi.org/10.1145/2379057.2379109" TargetMode="External" /><Relationship Type="http://schemas.openxmlformats.org/officeDocument/2006/relationships/hyperlink" Id="rId191" Target="https://doi.org/10.1145/2556288.2557295" TargetMode="External" /><Relationship Type="http://schemas.openxmlformats.org/officeDocument/2006/relationships/hyperlink" Id="rId227" Target="https://doi.org/10.1145/2661435.2661436" TargetMode="External" /><Relationship Type="http://schemas.openxmlformats.org/officeDocument/2006/relationships/hyperlink" Id="rId93" Target="https://doi.org/10.1145/2901790.2901855" TargetMode="External" /><Relationship Type="http://schemas.openxmlformats.org/officeDocument/2006/relationships/hyperlink" Id="rId171" Target="https://doi.org/10.1145/3173574.3173692" TargetMode="External" /><Relationship Type="http://schemas.openxmlformats.org/officeDocument/2006/relationships/hyperlink" Id="rId101" Target="https://doi.org/10.1145/3173574.3173710" TargetMode="External" /><Relationship Type="http://schemas.openxmlformats.org/officeDocument/2006/relationships/hyperlink" Id="rId217" Target="https://doi.org/10.1145/3173574.3173818" TargetMode="External" /><Relationship Type="http://schemas.openxmlformats.org/officeDocument/2006/relationships/hyperlink" Id="rId244" Target="https://doi.org/10.1145/329124.329126" TargetMode="External" /><Relationship Type="http://schemas.openxmlformats.org/officeDocument/2006/relationships/hyperlink" Id="rId164" Target="https://doi.org/10.1145/3411763.3451632" TargetMode="External" /><Relationship Type="http://schemas.openxmlformats.org/officeDocument/2006/relationships/hyperlink" Id="rId141" Target="https://doi.org/10.1145/381854.381893" TargetMode="External" /><Relationship Type="http://schemas.openxmlformats.org/officeDocument/2006/relationships/hyperlink" Id="rId230" Target="https://doi.org/10.1145/634067.634311" TargetMode="External" /><Relationship Type="http://schemas.openxmlformats.org/officeDocument/2006/relationships/hyperlink" Id="rId150" Target="https://doi.org/10.1177/0165551506062337" TargetMode="External" /><Relationship Type="http://schemas.openxmlformats.org/officeDocument/2006/relationships/hyperlink" Id="rId214" Target="https://doi.org/10.5281/zenodo.6554155" TargetMode="External" /><Relationship Type="http://schemas.openxmlformats.org/officeDocument/2006/relationships/hyperlink" Id="rId105" Target="https://doi.org/10.5281/zenodo.6554177" TargetMode="External" /><Relationship Type="http://schemas.openxmlformats.org/officeDocument/2006/relationships/hyperlink" Id="rId212" Target="https://doi.org/10.6028/NIST.IR.8312-draft" TargetMode="External" /><Relationship Type="http://schemas.openxmlformats.org/officeDocument/2006/relationships/hyperlink" Id="rId99" Target="https://eprints.ncl.ac.uk/273826" TargetMode="External" /><Relationship Type="http://schemas.openxmlformats.org/officeDocument/2006/relationships/hyperlink" Id="rId97" Target="https://eprints.ncl.ac.uk/273832" TargetMode="External" /><Relationship Type="http://schemas.openxmlformats.org/officeDocument/2006/relationships/hyperlink" Id="rId70" Target="https://ico.org.uk/for-organisations/uk-gdpr-guidance-and-resources/lawful-basis/a-guide-to-lawful-basis/#what" TargetMode="External" /><Relationship Type="http://schemas.openxmlformats.org/officeDocument/2006/relationships/hyperlink" Id="rId89" Target="https://inrupt.com/solid/" TargetMode="External" /><Relationship Type="http://schemas.openxmlformats.org/officeDocument/2006/relationships/hyperlink" Id="rId91" Target="https://jstor.org/stable/10.2307/26059207" TargetMode="External" /><Relationship Type="http://schemas.openxmlformats.org/officeDocument/2006/relationships/hyperlink" Id="rId242" Target="https://medium.com/cybersecurity-for-democracy/the-political-ads-facebook-wont-show-you-e0d6181bca25" TargetMode="External" /><Relationship Type="http://schemas.openxmlformats.org/officeDocument/2006/relationships/hyperlink" Id="rId186" Target="https://medium.com/mysuperai/what-is-named-entity-recognition-ner-and-how-can-i-use-it-2b68cf6f545d" TargetMode="External" /><Relationship Type="http://schemas.openxmlformats.org/officeDocument/2006/relationships/hyperlink" Id="rId129" Target="https://medium.com/personaldata-io/facebook-forced-to-disclose-more-information-about-its-ad-targeting-7e6c0127722" TargetMode="External" /><Relationship Type="http://schemas.openxmlformats.org/officeDocument/2006/relationships/hyperlink" Id="rId139" Target="https://medium.com/personaldata-io/uber-vs-drivers-trial-interview-data-protection-expert-rene-mahieu-55359f8cdd9d" TargetMode="External" /><Relationship Type="http://schemas.openxmlformats.org/officeDocument/2006/relationships/hyperlink" Id="rId76" Target="https://medium.com/swlh/java-passing-by-value-or-passing-by-reference-c75e312069ed" TargetMode="External" /><Relationship Type="http://schemas.openxmlformats.org/officeDocument/2006/relationships/hyperlink" Id="rId146" Target="https://mitpress.mit.edu/books/raw-data-oxymoron" TargetMode="External" /><Relationship Type="http://schemas.openxmlformats.org/officeDocument/2006/relationships/hyperlink" Id="rId108" Target="https://nakedsecurity.sophos.com/2019/07/25/youre-special-after-alland-thats-bad-for-your-privacy/" TargetMode="External" /><Relationship Type="http://schemas.openxmlformats.org/officeDocument/2006/relationships/hyperlink" Id="rId219" Target="https://noyb.eu/en/our-detailed-concept" TargetMode="External" /><Relationship Type="http://schemas.openxmlformats.org/officeDocument/2006/relationships/hyperlink" Id="rId166" Target="https://perma.cc/92LZ-B8DN]." TargetMode="External" /><Relationship Type="http://schemas.openxmlformats.org/officeDocument/2006/relationships/hyperlink" Id="rId181" Target="https://policyreview.info/articles/news/harnessing-collective-potential-gdpr-access-rights-towards-ecology-transparency/1487" TargetMode="External" /><Relationship Type="http://schemas.openxmlformats.org/officeDocument/2006/relationships/hyperlink" Id="rId210" Target="https://raluca-p.medium.com/web-scraping-extensions-the-easy-gateway-to-web-data-40e8592e13bf" TargetMode="External" /><Relationship Type="http://schemas.openxmlformats.org/officeDocument/2006/relationships/hyperlink" Id="rId239" Target="https://ruben.verborgh.org/blog/2017/12/20/paradigm-shifts-for-the-decentralized-web/" TargetMode="External" /><Relationship Type="http://schemas.openxmlformats.org/officeDocument/2006/relationships/hyperlink" Id="rId221" Target="https://shaperepo.com/" TargetMode="External" /><Relationship Type="http://schemas.openxmlformats.org/officeDocument/2006/relationships/hyperlink" Id="rId173" Target="https://techcrunch.com/2021/03/12/dutch-court-rejects-uber-drivers-robo-firing-charge-but-tells-ola-to-explain-algo-deductions/" TargetMode="External" /><Relationship Type="http://schemas.openxmlformats.org/officeDocument/2006/relationships/hyperlink" Id="rId135" Target="https://themarkup.org/citizen-browser/2021/09/21/facebook-rolls-out-news-feed-change-that-blocks-watchdogs-from-gathering-data" TargetMode="External" /><Relationship Type="http://schemas.openxmlformats.org/officeDocument/2006/relationships/hyperlink" Id="rId161" Target="https://themarkup.org/privacy/2022/03/21/lawsuit-highlights-how-little-control-brokers-have-over-location-data" TargetMode="External" /><Relationship Type="http://schemas.openxmlformats.org/officeDocument/2006/relationships/hyperlink" Id="rId127" Target="https://uxdx.com/blog/data-enabled-design/" TargetMode="External" /><Relationship Type="http://schemas.openxmlformats.org/officeDocument/2006/relationships/hyperlink" Id="rId125" Target="https://web.archive.org/web/20120128050842/http://gigaom.com/2009/04/24/why-email-clients-need-to-change/" TargetMode="External" /><Relationship Type="http://schemas.openxmlformats.org/officeDocument/2006/relationships/hyperlink" Id="rId208" Target="https://web.archive.org/web/20120922222936/http://gigaom.com/2012/09/18/betaworks-findings-pivots-as-amazon-bans-kindle-clips/" TargetMode="External" /><Relationship Type="http://schemas.openxmlformats.org/officeDocument/2006/relationships/hyperlink" Id="rId204" Target="https://web.archive.org/web/20210325143142/https://www.mydata.org/declaration/" TargetMode="External" /><Relationship Type="http://schemas.openxmlformats.org/officeDocument/2006/relationships/hyperlink" Id="rId137" Target="https://www.bbc.co.uk/rd/blog/2021-07-talking-about-human-values-and-design" TargetMode="External" /><Relationship Type="http://schemas.openxmlformats.org/officeDocument/2006/relationships/hyperlink" Id="rId177" Target="https://www.bbc.com/future/article/20170331-50-grand-challenges-for-the-21st-century" TargetMode="External" /><Relationship Type="http://schemas.openxmlformats.org/officeDocument/2006/relationships/hyperlink" Id="rId196" Target="https://www.bmc.com/blogs/right-to-repair/" TargetMode="External" /><Relationship Type="http://schemas.openxmlformats.org/officeDocument/2006/relationships/hyperlink" Id="rId193" Target="https://www.eff.org/deeplinks/2019/07/googles-plans-chrome-extensions-wont-really-help-security" TargetMode="External" /><Relationship Type="http://schemas.openxmlformats.org/officeDocument/2006/relationships/hyperlink" Id="rId83" Target="https://www.freecodecamp.org/news/an-introduction-to-solid-tim-berners-lees-new-re-decentralized-web-25d6b78c523b/" TargetMode="External" /><Relationship Type="http://schemas.openxmlformats.org/officeDocument/2006/relationships/hyperlink" Id="rId232" Target="https://www.ft.com/content/aabe2aee-cd2b-42e4-9a0b-51f838da89db" TargetMode="External" /><Relationship Type="http://schemas.openxmlformats.org/officeDocument/2006/relationships/hyperlink" Id="rId78" Target="https://www.geeksforgeeks.org/naive-bayes-classifiers/" TargetMode="External" /><Relationship Type="http://schemas.openxmlformats.org/officeDocument/2006/relationships/hyperlink" Id="rId175" Target="https://www.linkedin.com/pulse/publishers-google-joint-controllers-how-avoid-several-ad/" TargetMode="External" /><Relationship Type="http://schemas.openxmlformats.org/officeDocument/2006/relationships/hyperlink" Id="rId112" Target="https://www.maketecheasier.com/which-email-providers-scanning-emails/" TargetMode="External" /><Relationship Type="http://schemas.openxmlformats.org/officeDocument/2006/relationships/hyperlink" Id="rId184" Target="https://www.mattmaldre.com/2012/10/01/amazon-makes-kindle-less-social/" TargetMode="External" /><Relationship Type="http://schemas.openxmlformats.org/officeDocument/2006/relationships/hyperlink" Id="rId123" Target="https://www.openrightsgroup.org/press-releases/26-civil-society-groups-call-on-government-to-scrap-data-protection-and-digital-information-dpdi-bill/" TargetMode="External" /><Relationship Type="http://schemas.openxmlformats.org/officeDocument/2006/relationships/hyperlink" Id="rId250" Target="https://www.opentext.com/products-and-solutions/products/ai-and-analytics/opentext-magellan/magellan-text-mining" TargetMode="External" /><Relationship Type="http://schemas.openxmlformats.org/officeDocument/2006/relationships/hyperlink" Id="rId198" Target="https://www.theguardian.com/uk-news/2021/oct/14/amazon-asks-ring-owners-to-respect-privacy-after-court-rules-usage-broke-law" TargetMode="External" /><Relationship Type="http://schemas.openxmlformats.org/officeDocument/2006/relationships/hyperlink" Id="rId179" Target="https://www.theguardian.com/world/interactive/2013/nov/01/snowden-nsa-files-surveillance-revelations-decoded" TargetMode="External" /><Relationship Type="http://schemas.openxmlformats.org/officeDocument/2006/relationships/hyperlink" Id="rId154" Target="https://www.theverge.com/2016/2/1/10872792/facebook-interests-ranked-preferred-audience-size" TargetMode="External" /><Relationship Type="http://schemas.openxmlformats.org/officeDocument/2006/relationships/hyperlink" Id="rId200" Target="https://www.tomsguide.com/news/apple-launches-iphone-self-service-repair-kits-but-theres-a-big-catch" TargetMode="External" /><Relationship Type="http://schemas.openxmlformats.org/officeDocument/2006/relationships/hyperlink" Id="rId225" Target="https://www.wired.co.uk/article/privacy-versus-facebook" TargetMode="External" /><Relationship Type="http://schemas.openxmlformats.org/officeDocument/2006/relationships/hyperlink" Id="rId235" Target="https://www.wired.com/story/right-to-repair-tenants-on-our-own-devices/" TargetMode="External" /><Relationship Type="http://schemas.openxmlformats.org/officeDocument/2006/relationships/hyperlink" Id="rId252" Target="https://www.workerinfoexchange.org/" TargetMode="External" /><Relationship Type="http://schemas.openxmlformats.org/officeDocument/2006/relationships/hyperlink" Id="rId156" Target="https://www.wsj.com/articles/the-facebook-files-11631713039" TargetMode="External" /><Relationship Type="http://schemas.openxmlformats.org/officeDocument/2006/relationships/hyperlink" Id="rId131"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64" Target="5.5.4" TargetMode="External" /><Relationship Type="http://schemas.openxmlformats.org/officeDocument/2006/relationships/hyperlink" Id="rId72" Target="http://dx.doi.org/10.1145/2370216.2370222" TargetMode="External" /><Relationship Type="http://schemas.openxmlformats.org/officeDocument/2006/relationships/hyperlink" Id="rId247" Target="http://link.springer.com/content/pdf/10.1007/978-1-4612-0685-9_6.pdf" TargetMode="External" /><Relationship Type="http://schemas.openxmlformats.org/officeDocument/2006/relationships/hyperlink" Id="rId95" Target="http://radar.oreilly.com/2011/07/why-files-need-to-die.html" TargetMode="External" /><Relationship Type="http://schemas.openxmlformats.org/officeDocument/2006/relationships/hyperlink" Id="rId103" Target="https://bit.ly/bbc-pds-research-bowyer" TargetMode="External" /><Relationship Type="http://schemas.openxmlformats.org/officeDocument/2006/relationships/hyperlink" Id="rId143" Target="https://books.google.co.uk/books?id=8ZiWDwAAQBAJ" TargetMode="External" /><Relationship Type="http://schemas.openxmlformats.org/officeDocument/2006/relationships/hyperlink" Id="rId120" Target="https://designjustice.mitpress.mit.edu/pub/cfohnud7/release/4" TargetMode="External" /><Relationship Type="http://schemas.openxmlformats.org/officeDocument/2006/relationships/hyperlink" Id="rId237" Target="https://developer.mozilla.org/en-US/docs/Web/Accessibility/ARIA" TargetMode="External" /><Relationship Type="http://schemas.openxmlformats.org/officeDocument/2006/relationships/hyperlink" Id="rId87" Target="https://doi.org/10.1002/asi.10283" TargetMode="External" /><Relationship Type="http://schemas.openxmlformats.org/officeDocument/2006/relationships/hyperlink" Id="rId114" Target="https://doi.org/10.1007/s12394-010-0062-y" TargetMode="External" /><Relationship Type="http://schemas.openxmlformats.org/officeDocument/2006/relationships/hyperlink" Id="rId206" Target="https://doi.org/10.1089/big.2013.0029" TargetMode="External" /><Relationship Type="http://schemas.openxmlformats.org/officeDocument/2006/relationships/hyperlink" Id="rId81" Target="https://doi.org/10.1126/SCIENCE.AAA1160/SUPPL_FILE/PAPV2.PDF" TargetMode="External" /><Relationship Type="http://schemas.openxmlformats.org/officeDocument/2006/relationships/hyperlink" Id="rId110" Target="https://doi.org/10.1145/1011870.1011885" TargetMode="External" /><Relationship Type="http://schemas.openxmlformats.org/officeDocument/2006/relationships/hyperlink" Id="rId169" Target="https://doi.org/10.1145/1753846.1754181" TargetMode="External" /><Relationship Type="http://schemas.openxmlformats.org/officeDocument/2006/relationships/hyperlink" Id="rId152" Target="https://doi.org/10.1145/2379057.2379109" TargetMode="External" /><Relationship Type="http://schemas.openxmlformats.org/officeDocument/2006/relationships/hyperlink" Id="rId191" Target="https://doi.org/10.1145/2556288.2557295" TargetMode="External" /><Relationship Type="http://schemas.openxmlformats.org/officeDocument/2006/relationships/hyperlink" Id="rId227" Target="https://doi.org/10.1145/2661435.2661436" TargetMode="External" /><Relationship Type="http://schemas.openxmlformats.org/officeDocument/2006/relationships/hyperlink" Id="rId93" Target="https://doi.org/10.1145/2901790.2901855" TargetMode="External" /><Relationship Type="http://schemas.openxmlformats.org/officeDocument/2006/relationships/hyperlink" Id="rId171" Target="https://doi.org/10.1145/3173574.3173692" TargetMode="External" /><Relationship Type="http://schemas.openxmlformats.org/officeDocument/2006/relationships/hyperlink" Id="rId101" Target="https://doi.org/10.1145/3173574.3173710" TargetMode="External" /><Relationship Type="http://schemas.openxmlformats.org/officeDocument/2006/relationships/hyperlink" Id="rId217" Target="https://doi.org/10.1145/3173574.3173818" TargetMode="External" /><Relationship Type="http://schemas.openxmlformats.org/officeDocument/2006/relationships/hyperlink" Id="rId244" Target="https://doi.org/10.1145/329124.329126" TargetMode="External" /><Relationship Type="http://schemas.openxmlformats.org/officeDocument/2006/relationships/hyperlink" Id="rId164" Target="https://doi.org/10.1145/3411763.3451632" TargetMode="External" /><Relationship Type="http://schemas.openxmlformats.org/officeDocument/2006/relationships/hyperlink" Id="rId141" Target="https://doi.org/10.1145/381854.381893" TargetMode="External" /><Relationship Type="http://schemas.openxmlformats.org/officeDocument/2006/relationships/hyperlink" Id="rId230" Target="https://doi.org/10.1145/634067.634311" TargetMode="External" /><Relationship Type="http://schemas.openxmlformats.org/officeDocument/2006/relationships/hyperlink" Id="rId150" Target="https://doi.org/10.1177/0165551506062337" TargetMode="External" /><Relationship Type="http://schemas.openxmlformats.org/officeDocument/2006/relationships/hyperlink" Id="rId214" Target="https://doi.org/10.5281/zenodo.6554155" TargetMode="External" /><Relationship Type="http://schemas.openxmlformats.org/officeDocument/2006/relationships/hyperlink" Id="rId105" Target="https://doi.org/10.5281/zenodo.6554177" TargetMode="External" /><Relationship Type="http://schemas.openxmlformats.org/officeDocument/2006/relationships/hyperlink" Id="rId212" Target="https://doi.org/10.6028/NIST.IR.8312-draft" TargetMode="External" /><Relationship Type="http://schemas.openxmlformats.org/officeDocument/2006/relationships/hyperlink" Id="rId99" Target="https://eprints.ncl.ac.uk/273826" TargetMode="External" /><Relationship Type="http://schemas.openxmlformats.org/officeDocument/2006/relationships/hyperlink" Id="rId97" Target="https://eprints.ncl.ac.uk/273832" TargetMode="External" /><Relationship Type="http://schemas.openxmlformats.org/officeDocument/2006/relationships/hyperlink" Id="rId70" Target="https://ico.org.uk/for-organisations/uk-gdpr-guidance-and-resources/lawful-basis/a-guide-to-lawful-basis/#what" TargetMode="External" /><Relationship Type="http://schemas.openxmlformats.org/officeDocument/2006/relationships/hyperlink" Id="rId89" Target="https://inrupt.com/solid/" TargetMode="External" /><Relationship Type="http://schemas.openxmlformats.org/officeDocument/2006/relationships/hyperlink" Id="rId91" Target="https://jstor.org/stable/10.2307/26059207" TargetMode="External" /><Relationship Type="http://schemas.openxmlformats.org/officeDocument/2006/relationships/hyperlink" Id="rId242" Target="https://medium.com/cybersecurity-for-democracy/the-political-ads-facebook-wont-show-you-e0d6181bca25" TargetMode="External" /><Relationship Type="http://schemas.openxmlformats.org/officeDocument/2006/relationships/hyperlink" Id="rId186" Target="https://medium.com/mysuperai/what-is-named-entity-recognition-ner-and-how-can-i-use-it-2b68cf6f545d" TargetMode="External" /><Relationship Type="http://schemas.openxmlformats.org/officeDocument/2006/relationships/hyperlink" Id="rId129" Target="https://medium.com/personaldata-io/facebook-forced-to-disclose-more-information-about-its-ad-targeting-7e6c0127722" TargetMode="External" /><Relationship Type="http://schemas.openxmlformats.org/officeDocument/2006/relationships/hyperlink" Id="rId139" Target="https://medium.com/personaldata-io/uber-vs-drivers-trial-interview-data-protection-expert-rene-mahieu-55359f8cdd9d" TargetMode="External" /><Relationship Type="http://schemas.openxmlformats.org/officeDocument/2006/relationships/hyperlink" Id="rId76" Target="https://medium.com/swlh/java-passing-by-value-or-passing-by-reference-c75e312069ed" TargetMode="External" /><Relationship Type="http://schemas.openxmlformats.org/officeDocument/2006/relationships/hyperlink" Id="rId146" Target="https://mitpress.mit.edu/books/raw-data-oxymoron" TargetMode="External" /><Relationship Type="http://schemas.openxmlformats.org/officeDocument/2006/relationships/hyperlink" Id="rId108" Target="https://nakedsecurity.sophos.com/2019/07/25/youre-special-after-alland-thats-bad-for-your-privacy/" TargetMode="External" /><Relationship Type="http://schemas.openxmlformats.org/officeDocument/2006/relationships/hyperlink" Id="rId219" Target="https://noyb.eu/en/our-detailed-concept" TargetMode="External" /><Relationship Type="http://schemas.openxmlformats.org/officeDocument/2006/relationships/hyperlink" Id="rId166" Target="https://perma.cc/92LZ-B8DN]." TargetMode="External" /><Relationship Type="http://schemas.openxmlformats.org/officeDocument/2006/relationships/hyperlink" Id="rId181" Target="https://policyreview.info/articles/news/harnessing-collective-potential-gdpr-access-rights-towards-ecology-transparency/1487" TargetMode="External" /><Relationship Type="http://schemas.openxmlformats.org/officeDocument/2006/relationships/hyperlink" Id="rId210" Target="https://raluca-p.medium.com/web-scraping-extensions-the-easy-gateway-to-web-data-40e8592e13bf" TargetMode="External" /><Relationship Type="http://schemas.openxmlformats.org/officeDocument/2006/relationships/hyperlink" Id="rId239" Target="https://ruben.verborgh.org/blog/2017/12/20/paradigm-shifts-for-the-decentralized-web/" TargetMode="External" /><Relationship Type="http://schemas.openxmlformats.org/officeDocument/2006/relationships/hyperlink" Id="rId221" Target="https://shaperepo.com/" TargetMode="External" /><Relationship Type="http://schemas.openxmlformats.org/officeDocument/2006/relationships/hyperlink" Id="rId173" Target="https://techcrunch.com/2021/03/12/dutch-court-rejects-uber-drivers-robo-firing-charge-but-tells-ola-to-explain-algo-deductions/" TargetMode="External" /><Relationship Type="http://schemas.openxmlformats.org/officeDocument/2006/relationships/hyperlink" Id="rId135" Target="https://themarkup.org/citizen-browser/2021/09/21/facebook-rolls-out-news-feed-change-that-blocks-watchdogs-from-gathering-data" TargetMode="External" /><Relationship Type="http://schemas.openxmlformats.org/officeDocument/2006/relationships/hyperlink" Id="rId161" Target="https://themarkup.org/privacy/2022/03/21/lawsuit-highlights-how-little-control-brokers-have-over-location-data" TargetMode="External" /><Relationship Type="http://schemas.openxmlformats.org/officeDocument/2006/relationships/hyperlink" Id="rId127" Target="https://uxdx.com/blog/data-enabled-design/" TargetMode="External" /><Relationship Type="http://schemas.openxmlformats.org/officeDocument/2006/relationships/hyperlink" Id="rId125" Target="https://web.archive.org/web/20120128050842/http://gigaom.com/2009/04/24/why-email-clients-need-to-change/" TargetMode="External" /><Relationship Type="http://schemas.openxmlformats.org/officeDocument/2006/relationships/hyperlink" Id="rId208" Target="https://web.archive.org/web/20120922222936/http://gigaom.com/2012/09/18/betaworks-findings-pivots-as-amazon-bans-kindle-clips/" TargetMode="External" /><Relationship Type="http://schemas.openxmlformats.org/officeDocument/2006/relationships/hyperlink" Id="rId204" Target="https://web.archive.org/web/20210325143142/https://www.mydata.org/declaration/" TargetMode="External" /><Relationship Type="http://schemas.openxmlformats.org/officeDocument/2006/relationships/hyperlink" Id="rId137" Target="https://www.bbc.co.uk/rd/blog/2021-07-talking-about-human-values-and-design" TargetMode="External" /><Relationship Type="http://schemas.openxmlformats.org/officeDocument/2006/relationships/hyperlink" Id="rId177" Target="https://www.bbc.com/future/article/20170331-50-grand-challenges-for-the-21st-century" TargetMode="External" /><Relationship Type="http://schemas.openxmlformats.org/officeDocument/2006/relationships/hyperlink" Id="rId196" Target="https://www.bmc.com/blogs/right-to-repair/" TargetMode="External" /><Relationship Type="http://schemas.openxmlformats.org/officeDocument/2006/relationships/hyperlink" Id="rId193" Target="https://www.eff.org/deeplinks/2019/07/googles-plans-chrome-extensions-wont-really-help-security" TargetMode="External" /><Relationship Type="http://schemas.openxmlformats.org/officeDocument/2006/relationships/hyperlink" Id="rId83" Target="https://www.freecodecamp.org/news/an-introduction-to-solid-tim-berners-lees-new-re-decentralized-web-25d6b78c523b/" TargetMode="External" /><Relationship Type="http://schemas.openxmlformats.org/officeDocument/2006/relationships/hyperlink" Id="rId232" Target="https://www.ft.com/content/aabe2aee-cd2b-42e4-9a0b-51f838da89db" TargetMode="External" /><Relationship Type="http://schemas.openxmlformats.org/officeDocument/2006/relationships/hyperlink" Id="rId78" Target="https://www.geeksforgeeks.org/naive-bayes-classifiers/" TargetMode="External" /><Relationship Type="http://schemas.openxmlformats.org/officeDocument/2006/relationships/hyperlink" Id="rId175" Target="https://www.linkedin.com/pulse/publishers-google-joint-controllers-how-avoid-several-ad/" TargetMode="External" /><Relationship Type="http://schemas.openxmlformats.org/officeDocument/2006/relationships/hyperlink" Id="rId112" Target="https://www.maketecheasier.com/which-email-providers-scanning-emails/" TargetMode="External" /><Relationship Type="http://schemas.openxmlformats.org/officeDocument/2006/relationships/hyperlink" Id="rId184" Target="https://www.mattmaldre.com/2012/10/01/amazon-makes-kindle-less-social/" TargetMode="External" /><Relationship Type="http://schemas.openxmlformats.org/officeDocument/2006/relationships/hyperlink" Id="rId123" Target="https://www.openrightsgroup.org/press-releases/26-civil-society-groups-call-on-government-to-scrap-data-protection-and-digital-information-dpdi-bill/" TargetMode="External" /><Relationship Type="http://schemas.openxmlformats.org/officeDocument/2006/relationships/hyperlink" Id="rId250" Target="https://www.opentext.com/products-and-solutions/products/ai-and-analytics/opentext-magellan/magellan-text-mining" TargetMode="External" /><Relationship Type="http://schemas.openxmlformats.org/officeDocument/2006/relationships/hyperlink" Id="rId198" Target="https://www.theguardian.com/uk-news/2021/oct/14/amazon-asks-ring-owners-to-respect-privacy-after-court-rules-usage-broke-law" TargetMode="External" /><Relationship Type="http://schemas.openxmlformats.org/officeDocument/2006/relationships/hyperlink" Id="rId179" Target="https://www.theguardian.com/world/interactive/2013/nov/01/snowden-nsa-files-surveillance-revelations-decoded" TargetMode="External" /><Relationship Type="http://schemas.openxmlformats.org/officeDocument/2006/relationships/hyperlink" Id="rId154" Target="https://www.theverge.com/2016/2/1/10872792/facebook-interests-ranked-preferred-audience-size" TargetMode="External" /><Relationship Type="http://schemas.openxmlformats.org/officeDocument/2006/relationships/hyperlink" Id="rId200" Target="https://www.tomsguide.com/news/apple-launches-iphone-self-service-repair-kits-but-theres-a-big-catch" TargetMode="External" /><Relationship Type="http://schemas.openxmlformats.org/officeDocument/2006/relationships/hyperlink" Id="rId225" Target="https://www.wired.co.uk/article/privacy-versus-facebook" TargetMode="External" /><Relationship Type="http://schemas.openxmlformats.org/officeDocument/2006/relationships/hyperlink" Id="rId235" Target="https://www.wired.com/story/right-to-repair-tenants-on-our-own-devices/" TargetMode="External" /><Relationship Type="http://schemas.openxmlformats.org/officeDocument/2006/relationships/hyperlink" Id="rId252" Target="https://www.workerinfoexchange.org/" TargetMode="External" /><Relationship Type="http://schemas.openxmlformats.org/officeDocument/2006/relationships/hyperlink" Id="rId156" Target="https://www.wsj.com/articles/the-facebook-files-11631713039" TargetMode="External" /><Relationship Type="http://schemas.openxmlformats.org/officeDocument/2006/relationships/hyperlink" Id="rId131"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2023-05-29T18:02:15Z</dcterms:created>
  <dcterms:modified xsi:type="dcterms:W3CDTF">2023-05-29T18:02:15Z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